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
        </w:rPr>
      </w:pPr>
    </w:p>
    <w:tbl>
      <w:tblPr>
        <w:tblW w:w="9695" w:type="dxa"/>
        <w:tblInd w:w="-172" w:type="dxa"/>
        <w:tblLook w:val="01E0" w:firstRow="1" w:lastRow="1" w:firstColumn="1" w:lastColumn="1" w:noHBand="0" w:noVBand="0"/>
      </w:tblPr>
      <w:tblGrid>
        <w:gridCol w:w="3500"/>
        <w:gridCol w:w="6195"/>
      </w:tblGrid>
      <w:tr>
        <w:tc>
          <w:tcPr>
            <w:tcW w:w="3500" w:type="dxa"/>
          </w:tcPr>
          <w:p>
            <w:pPr>
              <w:spacing w:before="40"/>
              <w:jc w:val="center"/>
              <w:rPr>
                <w:b/>
                <w:sz w:val="26"/>
              </w:rPr>
            </w:pPr>
            <w:r>
              <w:rPr>
                <w:b/>
                <w:sz w:val="26"/>
              </w:rPr>
              <w:t>HỘI ĐỒNG NHÂN DÂN</w:t>
            </w:r>
          </w:p>
          <w:p>
            <w:pPr>
              <w:spacing w:before="40"/>
              <w:jc w:val="center"/>
              <w:rPr>
                <w:b/>
                <w:sz w:val="26"/>
              </w:rPr>
            </w:pPr>
            <w:r>
              <w:rPr>
                <w:b/>
                <w:sz w:val="26"/>
              </w:rPr>
              <w:t>XÃ KỲ VĂN</w:t>
            </w:r>
          </w:p>
          <w:p>
            <w:pPr>
              <w:spacing w:before="40"/>
              <w:jc w:val="center"/>
              <w:rPr>
                <w:sz w:val="16"/>
              </w:rPr>
            </w:pPr>
            <w:r>
              <w:rPr>
                <w:noProof/>
                <w:sz w:val="16"/>
              </w:rPr>
              <mc:AlternateContent>
                <mc:Choice Requires="wps">
                  <w:drawing>
                    <wp:anchor distT="0" distB="0" distL="114300" distR="114300" simplePos="0" relativeHeight="251659776" behindDoc="0" locked="0" layoutInCell="1" allowOverlap="1">
                      <wp:simplePos x="0" y="0"/>
                      <wp:positionH relativeFrom="column">
                        <wp:posOffset>545465</wp:posOffset>
                      </wp:positionH>
                      <wp:positionV relativeFrom="paragraph">
                        <wp:posOffset>4298</wp:posOffset>
                      </wp:positionV>
                      <wp:extent cx="1009540"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100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cei="http://schemas.microsoft.com/office/word/2026/wordml/cei" xmlns:oel="http://schemas.microsoft.com/office/2019/extlst">
                  <w:pict>
                    <v:line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95pt,.35pt" to="1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" strokecolor="black [3200]" strokeweight=".5pt">
                      <v:stroke joinstyle="miter"/>
                    </v:line>
                  </w:pict>
                </mc:Fallback>
              </mc:AlternateContent>
            </w:r>
          </w:p>
          <w:p>
            <w:pPr>
              <w:spacing w:before="40"/>
              <w:jc w:val="center"/>
            </w:pPr>
            <w:r>
              <w:rPr>
                <w:sz w:val="26"/>
              </w:rPr>
              <w:t>Số: 19/NQ-HĐND</w:t>
            </w:r>
          </w:p>
        </w:tc>
        <w:tc>
          <w:tcPr>
            <w:tcW w:w="6195" w:type="dxa"/>
          </w:tcPr>
          <w:p>
            <w:pPr>
              <w:spacing w:before="40"/>
              <w:jc w:val="center"/>
              <w:rPr>
                <w:b/>
                <w:sz w:val="26"/>
              </w:rPr>
            </w:pPr>
            <w:r>
              <w:rPr>
                <w:b/>
                <w:sz w:val="26"/>
              </w:rPr>
              <w:t>CỘNG HOÀ XÃ HỘI CHỦ NGHĨA VIỆT NAM</w:t>
            </w:r>
          </w:p>
          <w:p>
            <w:pPr>
              <w:spacing w:before="40"/>
              <w:jc w:val="center"/>
              <w:rPr>
                <w:b/>
              </w:rPr>
            </w:pPr>
            <w:r>
              <w:rPr>
                <w:b/>
              </w:rPr>
              <w:t>Độc lập - Tự do - Hạnh phúc</w:t>
            </w:r>
          </w:p>
          <w:p>
            <w:pPr>
              <w:spacing w:before="40"/>
              <w:jc w:val="center"/>
              <w:rPr>
                <w:sz w:val="14"/>
              </w:rPr>
            </w:pPr>
            <w:r>
              <w:rPr>
                <w:b/>
                <w:noProof/>
                <w:sz w:val="14"/>
              </w:rPr>
              <mc:AlternateContent>
                <mc:Choice Requires="wps">
                  <w:drawing>
                    <wp:anchor distT="4294967295" distB="4294967295" distL="114300" distR="114300" simplePos="0" relativeHeight="251657728" behindDoc="0" locked="0" layoutInCell="1" allowOverlap="1">
                      <wp:simplePos x="0" y="0"/>
                      <wp:positionH relativeFrom="column">
                        <wp:posOffset>1019810</wp:posOffset>
                      </wp:positionH>
                      <wp:positionV relativeFrom="paragraph">
                        <wp:posOffset>21589</wp:posOffset>
                      </wp:positionV>
                      <wp:extent cx="1773555" cy="0"/>
                      <wp:effectExtent l="0" t="0" r="1714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3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cei="http://schemas.microsoft.com/office/word/2026/wordml/cei" xmlns:oel="http://schemas.microsoft.com/office/2019/extlst">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0.3pt,1.7pt" to="219.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4a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"/>
                  </w:pict>
                </mc:Fallback>
              </mc:AlternateContent>
            </w:r>
          </w:p>
          <w:p>
            <w:pPr>
              <w:spacing w:before="40"/>
              <w:jc w:val="center"/>
              <w:rPr>
                <w:i/>
              </w:rPr>
            </w:pPr>
            <w:r>
              <w:rPr>
                <w:i/>
              </w:rPr>
              <w:t>Kỳ Văn, ngày 15 tháng 7 năm 2026</w:t>
            </w:r>
          </w:p>
          <w:p>
            <w:pPr>
              <w:spacing w:before="40"/>
              <w:rPr>
                <w:sz w:val="18"/>
              </w:rPr>
            </w:pPr>
          </w:p>
        </w:tc>
      </w:tr>
    </w:tbl>
    <w:p>
      <w:pPr>
        <w:spacing w:before="40"/>
        <w:jc w:val="center"/>
        <w:rPr>
          <w:b/>
        </w:rPr>
      </w:pPr>
      <w:bookmarkStart w:id="0" w:name="_GoBack"/>
      <w:r>
        <w:rPr>
          <w:b/>
        </w:rPr>
        <w:t>NGHỊ QUYẾT</w:t>
      </w:r>
    </w:p>
    <w:p>
      <w:pPr>
        <w:spacing w:before="40"/>
        <w:jc w:val="center"/>
        <w:rPr>
          <w:b/>
        </w:rPr>
      </w:pPr>
      <w:r>
        <w:rPr>
          <w:b/>
        </w:rPr>
        <w:t>Về kế hoạch phát triển kinh tế - xã hội 6 tháng cuối năm 2026</w:t>
      </w:r>
    </w:p>
    <w:bookmarkEnd w:id="0"/>
    <w:p>
      <w:pPr>
        <w:spacing w:before="60"/>
        <w:jc w:val="cente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2319020</wp:posOffset>
                </wp:positionH>
                <wp:positionV relativeFrom="paragraph">
                  <wp:posOffset>13969</wp:posOffset>
                </wp:positionV>
                <wp:extent cx="1155700" cy="0"/>
                <wp:effectExtent l="0" t="0" r="635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w16cei="http://schemas.microsoft.com/office/word/2026/wordml/cei" xmlns:oel="http://schemas.microsoft.com/office/2019/extlst">
            <w:pict>
              <v:line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6pt,1.1pt" to="273.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UT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"/>
            </w:pict>
          </mc:Fallback>
        </mc:AlternateContent>
      </w:r>
    </w:p>
    <w:p>
      <w:pPr>
        <w:spacing w:before="60"/>
        <w:jc w:val="center"/>
        <w:rPr>
          <w:b/>
        </w:rPr>
      </w:pPr>
      <w:r>
        <w:rPr>
          <w:b/>
        </w:rPr>
        <w:t>HỘI ĐỒNG NHÂN DÂN XÃ KỲ VĂN</w:t>
      </w:r>
    </w:p>
    <w:p>
      <w:pPr>
        <w:spacing w:before="60"/>
        <w:jc w:val="center"/>
        <w:rPr>
          <w:b/>
        </w:rPr>
      </w:pPr>
      <w:r>
        <w:rPr>
          <w:b/>
        </w:rPr>
        <w:t>KHOÁ XXI, KỲ HỌP THỨ 3</w:t>
      </w:r>
    </w:p>
    <w:p>
      <w:pPr>
        <w:spacing w:before="60"/>
        <w:ind w:firstLine="709"/>
        <w:jc w:val="both"/>
        <w:rPr>
          <w:sz w:val="16"/>
        </w:rPr>
      </w:pPr>
    </w:p>
    <w:p>
      <w:pPr>
        <w:spacing w:line="276" w:lineRule="auto"/>
        <w:ind w:firstLine="624"/>
        <w:jc w:val="both"/>
        <w:rPr>
          <w:i/>
          <w:lang w:val="vi-VN"/>
        </w:rPr>
      </w:pPr>
      <w:r>
        <w:rPr>
          <w:i/>
        </w:rPr>
        <w:t>Căn cứ Luật tổ chức C</w:t>
      </w:r>
      <w:r>
        <w:rPr>
          <w:i/>
          <w:lang w:val="vi-VN"/>
        </w:rPr>
        <w:t xml:space="preserve">hính quyền địa phương ngày </w:t>
      </w:r>
      <w:r>
        <w:rPr>
          <w:i/>
        </w:rPr>
        <w:t>16/6/2025</w:t>
      </w:r>
      <w:r>
        <w:rPr>
          <w:i/>
          <w:lang w:val="vi-VN"/>
        </w:rPr>
        <w:t>;</w:t>
      </w:r>
    </w:p>
    <w:p>
      <w:pPr>
        <w:spacing w:line="276" w:lineRule="auto"/>
        <w:ind w:firstLine="624"/>
        <w:jc w:val="both"/>
        <w:rPr>
          <w:i/>
          <w:lang w:val="vi-VN"/>
        </w:rPr>
      </w:pPr>
      <w:r>
        <w:rPr>
          <w:i/>
          <w:lang w:val="vi-VN"/>
        </w:rPr>
        <w:t>Xét Báo cáo số 172/BC-UBND ngày 13 tháng 7 năm 2026 của Uỷ ban nhân dân xã về tình hình kinh tế - xã hội 6 tháng đầu năm; nhiệm vụ, giải pháp 6 tháng cuối năm 2026; Tờ trình số 149/TTr-UBND ngày 13/7/2026 của UBND xã về việc ban hành Nghị quyết về nhiệm vụ phát triển kinh tế - xã hội 6 tháng cuối năm 2026; Báo cáo thẩm tra của các Ban Hội đồng nhân dân xã và ý kiến của đại biểu Hội đồng nhân dân xã tại Kỳ họp.</w:t>
      </w:r>
    </w:p>
    <w:p>
      <w:pPr>
        <w:spacing w:line="276" w:lineRule="auto"/>
        <w:jc w:val="center"/>
        <w:rPr>
          <w:sz w:val="14"/>
          <w:lang w:val="vi-VN"/>
        </w:rPr>
      </w:pPr>
    </w:p>
    <w:p>
      <w:pPr>
        <w:spacing w:line="276" w:lineRule="auto"/>
        <w:jc w:val="center"/>
        <w:rPr>
          <w:b/>
          <w:lang w:val="vi-VN"/>
        </w:rPr>
      </w:pPr>
      <w:r>
        <w:rPr>
          <w:b/>
          <w:lang w:val="vi-VN"/>
        </w:rPr>
        <w:t>QUYẾT NGHỊ:</w:t>
      </w:r>
    </w:p>
    <w:p>
      <w:pPr>
        <w:spacing w:line="276" w:lineRule="auto"/>
        <w:ind w:firstLine="624"/>
        <w:jc w:val="both"/>
        <w:rPr>
          <w:b/>
          <w:sz w:val="12"/>
          <w:lang w:val="vi-VN"/>
        </w:rPr>
      </w:pPr>
    </w:p>
    <w:p>
      <w:pPr>
        <w:spacing w:line="276" w:lineRule="auto"/>
        <w:ind w:firstLine="720"/>
        <w:jc w:val="both"/>
        <w:rPr>
          <w:bCs/>
          <w:lang w:val="vi-VN"/>
        </w:rPr>
      </w:pPr>
      <w:r>
        <w:rPr>
          <w:b/>
          <w:bCs/>
          <w:lang w:val="vi-VN"/>
        </w:rPr>
        <w:t xml:space="preserve">Điều 1. </w:t>
      </w:r>
      <w:r>
        <w:rPr>
          <w:bCs/>
          <w:lang w:val="vi-VN"/>
        </w:rPr>
        <w:t xml:space="preserve">Hội đồng nhân dân xã thống nhất đánh giá tình hình, kết quả 6 tháng đầu năm 2026; phương hướng, mục tiêu, nhiệm vụ và giải pháp 6 tháng cuối năm 2026 tại </w:t>
      </w:r>
      <w:r>
        <w:rPr>
          <w:lang w:val="vi-VN"/>
        </w:rPr>
        <w:t>Báo cáo số 149/BC-UBND ngày 13 tháng 7 năm 2026 của Uỷ ban nhân dân xã; đồng thời, đề nghị Uỷ ban nhân dân xã tập trung thực hiện các nhiệm vụ, giải pháp trọng tâm sau đây:</w:t>
      </w:r>
    </w:p>
    <w:p>
      <w:pPr>
        <w:pBdr>
          <w:top w:val="dotted" w:sz="4" w:space="0" w:color="FFFFFF"/>
          <w:left w:val="dotted" w:sz="4" w:space="0" w:color="FFFFFF"/>
          <w:bottom w:val="dotted" w:sz="4" w:space="8" w:color="FFFFFF"/>
          <w:right w:val="dotted" w:sz="4" w:space="2" w:color="FFFFFF"/>
        </w:pBdr>
        <w:shd w:val="clear" w:color="auto" w:fill="FFFFFF"/>
        <w:spacing w:line="276" w:lineRule="auto"/>
        <w:ind w:firstLine="720"/>
        <w:jc w:val="both"/>
        <w:rPr>
          <w:shd w:val="clear" w:color="auto" w:fill="FFFFFF"/>
          <w:lang w:val="pt-BR"/>
        </w:rPr>
      </w:pPr>
      <w:r>
        <w:rPr>
          <w:b/>
          <w:bCs/>
          <w:shd w:val="clear" w:color="auto" w:fill="FFFFFF"/>
          <w:lang w:val="pt-BR"/>
        </w:rPr>
        <w:t>1.</w:t>
      </w:r>
      <w:r>
        <w:rPr>
          <w:shd w:val="clear" w:color="auto" w:fill="FFFFFF"/>
          <w:lang w:val="pt-BR"/>
        </w:rPr>
        <w:t xml:space="preserve"> Tập trung nguồn lực, quyết tâm hoàn thành và vượt mức các chỉ tiêu đề ra trong năm 2026. Chủ động theo dõi, đánh giá tác động tình hình quốc tế, trong nước đến sản xuất kinh doanh; thực hiện hiệu quả Chương trình khung phát triển kinh tế - xã hội năm 2026; tiếp tục hoàn thiện cơ chế vận hành mô hình chính quyền địa phương 02 cấp bảo đảm hoạt động thông suốt, hiệu năng, hiệu lực, hiệu quả.</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pt-BR"/>
        </w:rPr>
      </w:pPr>
      <w:r>
        <w:rPr>
          <w:b/>
          <w:bCs/>
          <w:lang w:val="nl-NL"/>
        </w:rPr>
        <w:t>2.</w:t>
      </w:r>
      <w:r>
        <w:rPr>
          <w:b/>
          <w:lang w:val="vi-VN"/>
        </w:rPr>
        <w:t xml:space="preserve"> </w:t>
      </w:r>
      <w:r>
        <w:rPr>
          <w:lang w:val="pt-BR"/>
        </w:rPr>
        <w:t>Tập trung phục hồi sản xuất công nghiệp; duy trì ổn định sản xuất nông nghiệp; tăng cường các hoạt động xúc tiến thương mại, du lịch</w:t>
      </w:r>
      <w:r>
        <w:rPr>
          <w:lang w:val="vi-VN"/>
        </w:rPr>
        <w:t>, dịch vụ</w:t>
      </w:r>
      <w:r>
        <w:rPr>
          <w:lang w:val="pt-BR"/>
        </w:rPr>
        <w:t>.</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bCs/>
          <w:i/>
          <w:lang w:val="nl-NL"/>
        </w:rPr>
        <w:t>- Trồng trọt:</w:t>
      </w:r>
      <w:r>
        <w:rPr>
          <w:b/>
          <w:bCs/>
          <w:lang w:val="vi-VN"/>
        </w:rPr>
        <w:t xml:space="preserve"> </w:t>
      </w:r>
      <w:r>
        <w:rPr>
          <w:lang w:val="nl-NL"/>
        </w:rPr>
        <w:t>Tiếp tục</w:t>
      </w:r>
      <w:r>
        <w:rPr>
          <w:color w:val="EE0000"/>
          <w:lang w:val="nl-NL"/>
        </w:rPr>
        <w:t xml:space="preserve"> </w:t>
      </w:r>
      <w:r>
        <w:rPr>
          <w:lang w:val="nl-NL"/>
        </w:rPr>
        <w:t>thực</w:t>
      </w:r>
      <w:r>
        <w:rPr>
          <w:lang w:val="vi-VN"/>
        </w:rPr>
        <w:t xml:space="preserve"> hiện </w:t>
      </w:r>
      <w:r>
        <w:rPr>
          <w:lang w:val="nl-NL"/>
        </w:rPr>
        <w:t>tập</w:t>
      </w:r>
      <w:r>
        <w:rPr>
          <w:lang w:val="vi-VN"/>
        </w:rPr>
        <w:t xml:space="preserve"> trung, </w:t>
      </w:r>
      <w:r>
        <w:rPr>
          <w:lang w:val="nl-NL"/>
        </w:rPr>
        <w:t>tích tụ ruộng đất, tổ chức vùng cánh đồng lớn, ứng dụng cơ giới hóa hiện đại (máy cấy, gieo sạ). Sản xuất theo mô hình "1 giống, 1 thời vụ, 1 quy trình" gắn với xây dựng thương hiệu lúa gạo chất lượng cao.</w:t>
      </w:r>
      <w:r>
        <w:rPr>
          <w:lang w:val="vi-VN"/>
        </w:rPr>
        <w:t xml:space="preserve"> Tập trung thâm canh nâng cao năng suất chè búp, cây ăn quả và rau màu vụ Đông. Xây dựng kế hoạch sản xuất nông nghiệp và Đề án sản xuất vụ Xuân năm 2027.</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bCs/>
          <w:i/>
          <w:lang w:val="vi-VN"/>
        </w:rPr>
        <w:t>- Chăn nuôi:</w:t>
      </w:r>
      <w:r>
        <w:rPr>
          <w:b/>
          <w:bCs/>
          <w:lang w:val="vi-VN"/>
        </w:rPr>
        <w:t xml:space="preserve"> </w:t>
      </w:r>
      <w:r>
        <w:rPr>
          <w:lang w:val="vi-VN"/>
        </w:rPr>
        <w:t xml:space="preserve">Thường xuyên kiểm tra chất lượng giống, vật tư đầu vào; nâng cao tỷ lệ tiêm phòng cho đàn gia súc, gia cầm và kiểm soát chặt chẽ hoạt động giết </w:t>
      </w:r>
      <w:r>
        <w:rPr>
          <w:lang w:val="vi-VN"/>
        </w:rPr>
        <w:lastRenderedPageBreak/>
        <w:t>mổ. Hỗ trợ các trang trại hiện đại hóa công nghệ, phối giống bò chất lượng cao; nhân rộng các mô hình chăn nuôi lợn, bò, gà theo hướng hữu cơ; củng cố tổ chức quản lý và kết nối chuỗi tiêu thụ ổn định.</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bCs/>
          <w:i/>
          <w:lang w:val="vi-VN"/>
        </w:rPr>
        <w:t>- Thủy sản:</w:t>
      </w:r>
      <w:r>
        <w:rPr>
          <w:b/>
          <w:bCs/>
          <w:lang w:val="vi-VN"/>
        </w:rPr>
        <w:t xml:space="preserve"> </w:t>
      </w:r>
      <w:r>
        <w:rPr>
          <w:i/>
          <w:iCs/>
          <w:lang w:val="vi-VN"/>
        </w:rPr>
        <w:t>(Kế thừa định hướng phát triển tổng thể kinh tế nông nghiệp)</w:t>
      </w:r>
      <w:r>
        <w:rPr>
          <w:lang w:val="vi-VN"/>
        </w:rPr>
        <w:t>: Tiếp tục theo dõi sát sao khung lịch thời vụ, hướng dẫn người dân nuôi trồng thủy sản an toàn sinh học, tăng cường kiểm soát môi trường ao nuôi, chủ động phòng chống dịch bệnh nhằm đảm bảo năng suất cuối năm.</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bCs/>
          <w:i/>
          <w:lang w:val="vi-VN"/>
        </w:rPr>
        <w:t>- Lâm nghiệp:</w:t>
      </w:r>
      <w:r>
        <w:rPr>
          <w:b/>
          <w:bCs/>
          <w:lang w:val="vi-VN"/>
        </w:rPr>
        <w:t xml:space="preserve"> </w:t>
      </w:r>
      <w:r>
        <w:rPr>
          <w:lang w:val="vi-VN"/>
        </w:rPr>
        <w:t>Tăng cường quản lý, bảo vệ rừng và nâng cao năng lực phòng cháy chữa cháy rừng (PCCCR); ngăn chặn triệt để nạn đánh bắt chim di cư tự nhiên; quản lý tốt các cơ sở kinh doanh giống cây lâm nghiệp. Khuyến khích trồng cây bản địa, cây dược liệu dưới tán rừng để phát triển hệ sinh thái rừng đa dụng. Tập trung chi trả kịp thời kinh phí hỗ trợ khôi phục sản xuất do ảnh hưởng của bão số 5 và bão số 10; vận động Nhân dân tích cực trồng phục hồi diện tích rừng bị thiệt hại.</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iCs/>
          <w:lang w:val="vi-VN"/>
        </w:rPr>
        <w:t>T</w:t>
      </w:r>
      <w:r>
        <w:rPr>
          <w:lang w:val="nl-NL"/>
        </w:rPr>
        <w:t>ạo điều kiện thuận lợi nhất để các nhà đầu tư triển khai các dự án phát triển thương mại trên địa bàn. Khuyến khích các ý tưởng khởi nghiệp, chủ động định hướng và hỗ trợ các chủ thể phát triển sản phẩm OCOP thế mạnh của địa phương.</w:t>
      </w:r>
      <w:r>
        <w:rPr>
          <w:lang w:val="vi-VN"/>
        </w:rPr>
        <w:t xml:space="preserve"> Triển khai đa dạng các hoạt động xúc tiến thương mại gắn với Cuộc vận động "Người Việt Nam ưu tiên dùng hàng Việt Nam". Phối hợp tăng cường kiểm tra, kiểm soát thị trường; xử lý nghiêm hành vi vi phạm về hàng giả, hàng nhái, gian lận thương mại; kiểm tra việc niêm yết giá và bán đúng giá niêm yết; đặc biệt chú trọng an toàn thực phẩm để bảo vệ quyền lợi người tiêu dùng.</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bCs/>
          <w:lang w:val="nl-NL"/>
        </w:rPr>
      </w:pPr>
      <w:r>
        <w:rPr>
          <w:b/>
          <w:bCs/>
          <w:lang w:val="nl-NL"/>
        </w:rPr>
        <w:t xml:space="preserve">3. </w:t>
      </w:r>
      <w:r>
        <w:rPr>
          <w:bCs/>
          <w:lang w:val="nl-NL"/>
        </w:rPr>
        <w:t>Công tác quy hoạch xây dựng, giao thông, tài nguyên môi trường</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nl-NL"/>
        </w:rPr>
      </w:pPr>
      <w:r>
        <w:rPr>
          <w:lang w:val="nl-NL"/>
        </w:rPr>
        <w:t>Đẩy nhanh tiến độ bồi thường, hỗ trợ, giải phóng mặt bằng để ưu tiên phục vụ 03 dự án trọng điểm: Dự án đường sắt tốc độ cao trên trục Bắc - Nam (đoạn qua địa bàn), Dự án khôi phục, sửa chữa Đập Cây Trường và Dự án xây dựng Trụ sở UBND xã; đồng thời, tập trung triển khai thực hiện các dự án hạ tầng giao thông trọng điểm kết nối giao thương đã được phê duyệt trong kế hoạch đầu tư công trung hạn giai đoạn 2026 - 2030.</w:t>
      </w:r>
    </w:p>
    <w:p>
      <w:pPr>
        <w:pBdr>
          <w:top w:val="dotted" w:sz="4" w:space="0" w:color="FFFFFF"/>
          <w:left w:val="dotted" w:sz="4" w:space="0" w:color="FFFFFF"/>
          <w:bottom w:val="dotted" w:sz="4" w:space="31" w:color="FFFFFF"/>
          <w:right w:val="dotted" w:sz="4" w:space="2" w:color="FFFFFF"/>
        </w:pBdr>
        <w:shd w:val="clear" w:color="auto" w:fill="FFFFFF"/>
        <w:spacing w:line="276" w:lineRule="auto"/>
        <w:ind w:firstLine="720"/>
        <w:jc w:val="both"/>
        <w:rPr>
          <w:lang w:val="vi-VN"/>
        </w:rPr>
      </w:pPr>
      <w:r>
        <w:rPr>
          <w:lang w:val="vi-VN"/>
        </w:rPr>
        <w:t xml:space="preserve">Kiện toàn Ban Chỉ đạo, Ban Quản lý Chương trình mục tiêu quốc gia xã; phân công cụ thể từng thành viên phụ trách các tiêu chí và các đoàn công tác chỉ đạo thôn. Rà soát, đánh giá tổng thể thực trạng các tiêu chí xã NTM và Khu dân cư NTM kiểu mẫu để xây dựng lộ trình </w:t>
      </w:r>
      <w:r>
        <w:rPr>
          <w:color w:val="000000" w:themeColor="text1"/>
          <w:lang w:val="vi-VN"/>
        </w:rPr>
        <w:t>chi tiết thực hiện. Huy độ</w:t>
      </w:r>
      <w:r>
        <w:rPr>
          <w:lang w:val="vi-VN"/>
        </w:rPr>
        <w:t>ng tối đa và sử dụng hiệu quả các nguồn vốn đầu tư hoàn thiện hệ thống cơ sở hạ tầng thiết yếu. Phục hồi các tuyến đường bê tông xuống cấp bằng công nghệ thảm carbon; nâng cấp, chỉnh trang hệ thống nhà văn hóa thôn. Thực hiện đồng bộ các Chương trình mục tiêu quốc gia gắn với nâng cao chất lượng tiêu chí xã NTM nâng cao và Khu dân cư NTM kiểu mẫu bền vững, duy trì bền vững tiêu chí Giao thông.</w:t>
      </w:r>
    </w:p>
    <w:p>
      <w:pPr>
        <w:pStyle w:val="NormalWeb"/>
        <w:spacing w:before="0" w:beforeAutospacing="0" w:after="0" w:afterAutospacing="0"/>
        <w:ind w:firstLine="720"/>
        <w:jc w:val="both"/>
        <w:rPr>
          <w:sz w:val="28"/>
          <w:szCs w:val="28"/>
          <w:lang w:val="vi-VN"/>
        </w:rPr>
      </w:pPr>
      <w:r>
        <w:rPr>
          <w:b/>
          <w:bCs/>
          <w:sz w:val="28"/>
          <w:szCs w:val="28"/>
          <w:lang w:val="vi-VN"/>
        </w:rPr>
        <w:lastRenderedPageBreak/>
        <w:t xml:space="preserve">4. </w:t>
      </w:r>
      <w:r>
        <w:rPr>
          <w:bCs/>
          <w:sz w:val="28"/>
          <w:szCs w:val="28"/>
          <w:lang w:val="vi-VN"/>
        </w:rPr>
        <w:t>Phấn đấu hoàn thành vượt mức dự toán thu ngân sách; đẩy nhanh tiến độ thực hiện, giải ngân vốn đầu tư công và tiếp tục cải thiện môi trường đầu tư kinh doanh.</w:t>
      </w:r>
    </w:p>
    <w:p>
      <w:pPr>
        <w:pStyle w:val="NormalWeb"/>
        <w:spacing w:before="0" w:beforeAutospacing="0" w:after="0" w:afterAutospacing="0"/>
        <w:ind w:firstLine="720"/>
        <w:jc w:val="both"/>
        <w:rPr>
          <w:sz w:val="28"/>
          <w:szCs w:val="28"/>
          <w:lang w:val="vi-VN"/>
        </w:rPr>
      </w:pPr>
      <w:r>
        <w:rPr>
          <w:sz w:val="28"/>
          <w:szCs w:val="28"/>
          <w:lang w:val="vi-VN"/>
        </w:rPr>
        <w:t>Triển khai quyết liệt các giải pháp quản lý thu, đảm bảo thu đúng, thu đủ và vượt kế hoạch dự toán được giao. Thực hiện tiết kiệm, cắt giảm các khoản chi thường xuyên không cần thiết, hội nghị, khánh tiết. Bố trí nguồn kinh phí ưu tiên cho chi trả nợ xây dựng cơ bản, thực hiện các nhiệm vụ đột xuất, cấp bách; chủ động nguồn kinh phí dự phòng để ứng phó, khắc phục thiên tai, dịch bệnh và đảm bảo an sinh xã hội. Nâng cao hiệu quả quản lý, đẩy nhanh tiến độ thực hiện và giải ngân vốn đầu tư công theo kế hoạch đã đề ra.</w:t>
      </w:r>
    </w:p>
    <w:p>
      <w:pPr>
        <w:pBdr>
          <w:top w:val="dotted" w:sz="4" w:space="0" w:color="FFFFFF"/>
          <w:left w:val="dotted" w:sz="4" w:space="0" w:color="FFFFFF"/>
          <w:bottom w:val="dotted" w:sz="4" w:space="14" w:color="FFFFFF"/>
          <w:right w:val="dotted" w:sz="4" w:space="2" w:color="FFFFFF"/>
        </w:pBdr>
        <w:shd w:val="clear" w:color="auto" w:fill="FFFFFF"/>
        <w:ind w:firstLine="720"/>
        <w:jc w:val="both"/>
        <w:rPr>
          <w:lang w:val="vi-VN"/>
        </w:rPr>
      </w:pPr>
      <w:r>
        <w:rPr>
          <w:b/>
          <w:iCs/>
          <w:lang w:val="vi-VN"/>
        </w:rPr>
        <w:t>5.</w:t>
      </w:r>
      <w:r>
        <w:rPr>
          <w:b/>
          <w:i/>
          <w:lang w:val="vi-VN"/>
        </w:rPr>
        <w:t xml:space="preserve"> </w:t>
      </w:r>
      <w:r>
        <w:rPr>
          <w:lang w:val="vi-VN"/>
        </w:rPr>
        <w:t>Tập trung rà soát, kiến nghị điều chỉnh quy hoạch, kế hoạch sử dụng đất phù hợp với thực tiễn. Phân loại, cập nhật và xây dựng phương án giải quyết dứt điểm các hồ sơ đất đai còn vướng mắc (đặc biệt là đất trước năm 1980, đất cấp lần đầu); thực hiện nghiêm túc việc cấp mới, cấp đổi, công nhận lại quyền sử dụng đất đúng quy định. Tăng cường kiểm tra, xử lý nghiêm các vi phạm lấn chiếm hoặc sử dụng đất sai mục đích. Triển khai hiệu quả Đề án quản lý, thu gom và xử lý chất thải rắn sinh hoạt, đẩy mạnh tuyên truyền, hướng dẫn người dân phân loại rác thải tại nguồn; rà soát và giải quyết triệt để các "điểm đen" về ô nhiễm môi trường tại các khu dân cư.</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vi-VN"/>
        </w:rPr>
      </w:pPr>
      <w:r>
        <w:rPr>
          <w:b/>
          <w:bCs/>
          <w:lang w:val="nl-NL"/>
        </w:rPr>
        <w:t>6</w:t>
      </w:r>
      <w:r>
        <w:rPr>
          <w:bCs/>
          <w:lang w:val="nl-NL"/>
        </w:rPr>
        <w:t xml:space="preserve">. </w:t>
      </w:r>
      <w:r>
        <w:rPr>
          <w:lang w:val="vi-VN"/>
        </w:rPr>
        <w:t>Triển khai nhiệm vụ năm học, tổ chức khai giảng năm học mới 2026 - 2027 theo đúng kế hoạch. Chỉ đạo các nhà trường rà soát, duy tu cơ sở vật chất, trang thiết bị dạy học đảm bảo an toàn, hiệu quả. Đẩy mạnh công tác xã hội hóa giáo dục, chỉ đạo tốt công tác vận động, quản lý và sử dụng các nguồn tài trợ phải thực hiện công khai, minh bạch, đúng quy định của pháp luật và hướng dẫn của cấp trên. Tiếp tục chỉ đạo các trường giữ vững danh hiệu trường đạt chuẩn quốc gia và đẩy mạnh xây dựng mô hình "Trường học hạnh phúc".</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b/>
          <w:lang w:val="vi-VN"/>
        </w:rPr>
      </w:pPr>
      <w:r>
        <w:rPr>
          <w:b/>
          <w:lang w:val="nl-NL"/>
        </w:rPr>
        <w:t xml:space="preserve">7. </w:t>
      </w:r>
      <w:r>
        <w:rPr>
          <w:lang w:val="vi-VN"/>
        </w:rPr>
        <w:t>Chỉ đạo thực hiện tốt công tác tuyên truyền, tổ chức các hoạt động văn hóa, văn nghệ, thể dục thể thao chào mừng các ngày lễ lớn của quê hương, đất nước và thực hiện các nhiệm vụ chính trị 6 tháng cuối năm 2026. Hướng dẫn, đôn đốc, kiểm tra, đánh giá và công nhận các danh hiệu văn hóa năm 2026. Tập trung triển khai hiệu quả Chương trình hành động của Đảng ủy về thực hiện Nghị quyết số 80-NQ/TW ngày 07/01/2026 của Bộ Chính trị về phát triển văn hóa Việt Nam, đảm bảo sát với tình hình thực tế địa phương. Phát động sâu rộng phong trào thi đua “Toàn dân đoàn kết xây dựng đời sống văn hóa ở khu dân cư”.</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b/>
          <w:lang w:val="nl-NL"/>
        </w:rPr>
      </w:pPr>
      <w:r>
        <w:rPr>
          <w:b/>
          <w:lang w:val="nl-NL"/>
        </w:rPr>
        <w:t xml:space="preserve">8. </w:t>
      </w:r>
      <w:r>
        <w:rPr>
          <w:lang w:val="nl-NL"/>
        </w:rPr>
        <w:t>Thực hiện đầy đủ, kịp thời các chế độ, chính sách đối với người có công với cách mạng và đối tượng bảo trợ xã hội. Tổ chức có</w:t>
      </w:r>
      <w:r>
        <w:rPr>
          <w:lang w:val="vi-VN"/>
        </w:rPr>
        <w:t xml:space="preserve"> hiệu quả</w:t>
      </w:r>
      <w:r>
        <w:rPr>
          <w:lang w:val="nl-NL"/>
        </w:rPr>
        <w:t xml:space="preserve"> các hoạt động “Uống nước nhớ nguồn, Đền ơn đáp nghĩa”, đặc biệt là công tác thăm hỏi, động viên gia đình chính sách nhân kỷ niệm ngày 27/7/2026. Đẩy mạnh thực hiện đồng bộ các chương trình, dự án giảm nghèo bền vững; tập trung hỗ trợ các đối tượng hộ nghèo không còn khả năng lao động; tạo điều kiện thuận lợi cho hộ nghèo, hộ cận nghèo </w:t>
      </w:r>
      <w:r>
        <w:rPr>
          <w:lang w:val="nl-NL"/>
        </w:rPr>
        <w:lastRenderedPageBreak/>
        <w:t>tiếp cận các nguồn vốn tín dụng ưu đãi để phát triển sản xuất, kinh doanh và các dịch vụ xã hội nhằm nâng cao đời sống</w:t>
      </w:r>
      <w:r>
        <w:rPr>
          <w:lang w:val="vi-VN"/>
        </w:rPr>
        <w:t xml:space="preserve"> cho nhân dân</w:t>
      </w:r>
      <w:r>
        <w:rPr>
          <w:lang w:val="nl-NL"/>
        </w:rPr>
        <w:t>.</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bCs/>
          <w:lang w:val="nl-NL"/>
        </w:rPr>
      </w:pPr>
      <w:r>
        <w:rPr>
          <w:b/>
          <w:lang w:val="nl-NL"/>
        </w:rPr>
        <w:t>9</w:t>
      </w:r>
      <w:r>
        <w:rPr>
          <w:b/>
          <w:i/>
          <w:lang w:val="nl-NL"/>
        </w:rPr>
        <w:t xml:space="preserve">. </w:t>
      </w:r>
      <w:r>
        <w:rPr>
          <w:bCs/>
          <w:lang w:val="nl-NL"/>
        </w:rPr>
        <w:t>Nâng cao chất lượng công tác y tế, chăm sóc sức khỏe Nhân dân và thực hiện chính sách bảo hiểm xã hội, bảo hiểm y tế.</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lang w:val="nl-NL"/>
        </w:rPr>
        <w:t>Tập trung nâng cao chất lượng khám chữa bệnh tại trạm y tế, đảm bảo đầy đủ thuốc và vật tư y tế phục vụ Nhân dân.</w:t>
      </w:r>
      <w:r>
        <w:rPr>
          <w:lang w:val="vi-VN"/>
        </w:rPr>
        <w:t xml:space="preserve"> </w:t>
      </w:r>
      <w:r>
        <w:rPr>
          <w:lang w:val="nl-NL"/>
        </w:rPr>
        <w:t>Ưu tiên các hoạt động khám sàng lọc cho trẻ em khuyết tật và khám sức khỏe định kỳ cho người cao tuổi.</w:t>
      </w:r>
      <w:r>
        <w:rPr>
          <w:lang w:val="vi-VN"/>
        </w:rPr>
        <w:t xml:space="preserve"> </w:t>
      </w:r>
      <w:r>
        <w:rPr>
          <w:lang w:val="nl-NL"/>
        </w:rPr>
        <w:t>Đẩy mạnh truyền thông về dân số, sức khỏe sinh sản; tăng cường các hoạt động nâng cao nhận thức cộng đồng về chủ động phòng, chống dịch bệnh.</w:t>
      </w:r>
      <w:r>
        <w:rPr>
          <w:lang w:val="vi-VN"/>
        </w:rPr>
        <w:t xml:space="preserve"> </w:t>
      </w:r>
      <w:r>
        <w:rPr>
          <w:lang w:val="nl-NL"/>
        </w:rPr>
        <w:t>Tập trung tuyên truyền, vận động Nhân dân tham gia bảo hiểm; thực hiện đồng bộ các giải pháp nhằm đạt mục tiêu tỷ lệ bao phủ BHYT trên 95,88% và tỷ lệ tham gia BHXH đạt trên</w:t>
      </w:r>
      <w:r>
        <w:rPr>
          <w:lang w:val="vi-VN"/>
        </w:rPr>
        <w:t xml:space="preserve"> </w:t>
      </w:r>
      <w:r>
        <w:rPr>
          <w:lang w:val="nl-NL"/>
        </w:rPr>
        <w:t>22,5%.</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b/>
          <w:lang w:val="nl-NL"/>
        </w:rPr>
        <w:t>10.</w:t>
      </w:r>
      <w:r>
        <w:rPr>
          <w:lang w:val="nl-NL"/>
        </w:rPr>
        <w:t xml:space="preserve"> Tập trung chỉ đạo các phòng chuyên môn khắc phục những hạn chế trong CCHC năm 2025 và 6 tháng đầu năm 2026; Triển khai kiểm tra, tự kiểm tra CCHC theo kế hoạch. Chỉ đạo công tác đào tạo, bồi dưỡng, chế độ chính sách đối với cán bộ, công chức, viên chức đúng quy định. Thực hiện công tác chỉnh lý sơ bộ tài liệu lưu trữ nền giấy, công tác thi đua khen thưởng. Hướng dẫn và tổ chức đánh giá, xếp loại tổ chức và cá nhân năm 2026.</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b/>
          <w:lang w:val="nl-NL"/>
        </w:rPr>
        <w:t>11.</w:t>
      </w:r>
      <w:r>
        <w:rPr>
          <w:lang w:val="nl-NL"/>
        </w:rPr>
        <w:t xml:space="preserve"> </w:t>
      </w:r>
      <w:r>
        <w:rPr>
          <w:lang w:val="pt-BR"/>
        </w:rPr>
        <w:t>Tập trung ổn định tổ chức</w:t>
      </w:r>
      <w:r>
        <w:rPr>
          <w:lang w:val="vi-VN"/>
        </w:rPr>
        <w:t xml:space="preserve">, </w:t>
      </w:r>
      <w:r>
        <w:rPr>
          <w:lang w:val="pt-BR"/>
        </w:rPr>
        <w:t>hoạt động của các thôn sau sáp nhập</w:t>
      </w:r>
      <w:r>
        <w:rPr>
          <w:lang w:val="nl-NL"/>
        </w:rPr>
        <w:t>; thực hiện kịp thời, thấu đáo các chế độ, chính sách đối với đội ngũ người hoạt động không chuyên trách dôi dư. Siết chặt kỷ luật, kỷ cương hành chính; tập trung bồi dưỡng đạo đức công vụ, tinh thần trách nhiệm và thái độ phục vụ Nhân dân của đội ngũ cán bộ, công chức, bảo đảm hoàn thành tốt mọi nhiệm vụ được giao.</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b/>
          <w:lang w:val="nl-NL"/>
        </w:rPr>
        <w:t>12.</w:t>
      </w:r>
      <w:r>
        <w:rPr>
          <w:lang w:val="nl-NL"/>
        </w:rPr>
        <w:t xml:space="preserve"> Tăng cường công tác tuyên truyền, phổ biến giáo dục pháp luật, hoạt động hoà giải ở cơ sở. Duy trì, nâng cao hiệu quả mô hình “ Ngày thứ 7 về thôn”; Các câu lạc bộ “Cựu chiến binh với pháp luật”; “Thanh niên với pháp luật” và Chương trình “Pháp luật với người dân”. Tập trung chỉ đạo thực hiện nhiệm vụ xây dựng xã đạt chuẩn tiếp cận pháp luật; nâng cao chất lượng thẩm định, góp ý xây dựng, kiểm tra, rà soát văn bản QPPL; Quản lý chặt chẽ công tác đăng ký, quản lý hộ tịch, chứng thực. Tăng cường công tác theo dõi tình hình thi hành pháp luật, xử lý vi phạm hành chính đảm bảo kịp thời, đúng quy định pháp luật.</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b/>
          <w:i/>
          <w:lang w:val="nl-NL"/>
        </w:rPr>
      </w:pPr>
      <w:r>
        <w:rPr>
          <w:b/>
          <w:lang w:val="nl-NL"/>
        </w:rPr>
        <w:t>13.</w:t>
      </w:r>
      <w:r>
        <w:rPr>
          <w:b/>
          <w:i/>
          <w:lang w:val="nl-NL"/>
        </w:rPr>
        <w:t xml:space="preserve">  </w:t>
      </w:r>
      <w:r>
        <w:rPr>
          <w:lang w:val="nl-NL"/>
        </w:rPr>
        <w:t xml:space="preserve">Duy trì nghiêm lịch tiếp công dân định kỳ và đột xuất. Tập trung chỉ đạo giải quyết dứt điểm các vụ việc tồn đọng, các kiến nghị, phản ánh chính đáng của công dân; chủ động phát hiện, xử lý các vụ việc khiếu nại, tố cáo ngay từ khi mới phát sinh tại cơ sở, tuyệt đối không để kéo dài hình thành "điểm nóng". Tổ chức Hội nghị đối thoại của người đứng đầu cấp ủy, chính quyền; tích cực tuyên truyền, vận động người dân chấp hành tốt chủ trương, đường lối của Đảng, chính sách, pháp luật của Nhà nước. </w:t>
      </w:r>
      <w:r>
        <w:rPr>
          <w:bCs/>
          <w:lang w:val="nl-NL"/>
        </w:rPr>
        <w:t>Thực hiện quyết liệt các giải pháp phòng ngừa, giải quyết dứt điểm các vụ việc tại cơ sở, không để xảy ra tình trạng khiếu kiện vượt cấp, trái quy định.</w:t>
      </w:r>
      <w:r>
        <w:rPr>
          <w:lang w:val="nl-NL"/>
        </w:rPr>
        <w:t xml:space="preserve"> Triển khai thực hiện công tác kiểm soát tài sản, thu nhập năm 2026 theo quy định.</w:t>
      </w:r>
    </w:p>
    <w:p>
      <w:pPr>
        <w:widowControl w:val="0"/>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b/>
          <w:lang w:val="nl-NL"/>
        </w:rPr>
        <w:lastRenderedPageBreak/>
        <w:t>14.</w:t>
      </w:r>
      <w:r>
        <w:rPr>
          <w:lang w:val="nl-NL"/>
        </w:rPr>
        <w:t xml:space="preserve"> Tiếp tục duy trì nghiêm chế độ trực chỉ huy, trực ban, trực sẵn sàng chiến đấu; chủ động nắm bắt, dự báo và xử lý hiệu quả các tình huống, giữ vững ổn định chính trị. Thực hiện tốt công tác huấn luyện dự bị động viên năm 2026; triển khai đăng ký quản lý nguồn nhập ngũ, khám tuyển chọn công dân nhập ngũ năm 2027 và đón quân nhân xuất ngũ trở về địa phương; thực hiện chu đáo chính sách hậu phương quân đội. Chủ động cập nhật dự báo thời tiết, rà soát phương án sẵn sàng ứng phó với thiên tai cực đoan, sạt lở, bão lũ trong mùa mưa bão; duy trì nghiêm chế độ trực cứu hộ, chuẩn bị đầy đủ lực lượng và phương tiện theo phương châm “4 tại chỗ”, “3 sẵn sàng”. Triển khai quyết liệt các biện pháp đảm bảo an ninh, trong đó tập trung nắm chắc tình hình an ninh, trật tự xã hội; kịp thời phát hiện, xử lý các hoạt động khiếu kiện, khiếu nại liên quan đến hạng mục lòng hồ Rào Trổ, Dự án đường sắt tốc độ cao trục Bắc - Nam và Dự án đường điện 500kV mạch 4. Tăng cường các biện pháp phòng ngừa, kéo giảm số vụ phạm tội về trật tự xã hội; đẩy mạnh đấu tranh ngăn chặn, xử lý tội phạm buôn lậu, gian lận thương mại, hàng giả, xâm phạm quyền sở hữu trí tuệ và tội phạm trên không gian mạng. Tiếp tục thực hiện đồng bộ, quyết liệt Đề án 06 của Chính phủ; đảm bảo trật tự an toàn giao thông, kiềm chế tai nạn giao thông và cháy nổ trên địa bàn; đẩy mạnh vận động Nhân dân giao nộp vũ khí, vật liệu nổ và công cụ hỗ trợ."</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b/>
          <w:lang w:val="vi-VN"/>
        </w:rPr>
        <w:t xml:space="preserve">Điều </w:t>
      </w:r>
      <w:r>
        <w:rPr>
          <w:b/>
          <w:lang w:val="sq-AL"/>
        </w:rPr>
        <w:t>2</w:t>
      </w:r>
      <w:r>
        <w:rPr>
          <w:b/>
          <w:lang w:val="vi-VN"/>
        </w:rPr>
        <w:t>.</w:t>
      </w:r>
      <w:r>
        <w:rPr>
          <w:b/>
          <w:lang w:val="sq-AL"/>
        </w:rPr>
        <w:t xml:space="preserve"> </w:t>
      </w:r>
      <w:r>
        <w:rPr>
          <w:b/>
          <w:lang w:val="vi-VN"/>
        </w:rPr>
        <w:t>Tổ chức thực hiện</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lang w:val="nl-NL"/>
        </w:rPr>
        <w:t>1. Giao Ủy ban nhân dân xã tổ chức và chỉ đạo các phòng chuyên môn, đơn vị triển khai thực hiện Nghị quyết này.</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lang w:val="nl-NL"/>
        </w:rPr>
        <w:t>2. Thường trực Hội đồng nhân dân, các ban Hội đồng nhân dân, các Tổ đại biểu Hội đồng nhân dân và đại biểu Hội đồng nhân dân xã giám sát việc thực hiện Nghị quyết.</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lang w:val="nl-NL"/>
        </w:rPr>
        <w:t>3. Đề nghị Ủy ban Mặt trận Tổ quốc Việt Nam xã và các tổ chức thành viên làm tốt công tác giám sát, phản biện xã hội, tổ chức vận động đoàn viên, hội viên tích cực thực hiện Nghị quyết.</w:t>
      </w:r>
    </w:p>
    <w:p>
      <w:pPr>
        <w:pBdr>
          <w:top w:val="dotted" w:sz="4" w:space="0" w:color="FFFFFF"/>
          <w:left w:val="dotted" w:sz="4" w:space="0" w:color="FFFFFF"/>
          <w:bottom w:val="dotted" w:sz="4" w:space="14" w:color="FFFFFF"/>
          <w:right w:val="dotted" w:sz="4" w:space="2" w:color="FFFFFF"/>
        </w:pBdr>
        <w:shd w:val="clear" w:color="auto" w:fill="FFFFFF"/>
        <w:spacing w:line="276" w:lineRule="auto"/>
        <w:ind w:firstLine="720"/>
        <w:jc w:val="both"/>
        <w:rPr>
          <w:lang w:val="nl-NL"/>
        </w:rPr>
      </w:pPr>
      <w:r>
        <w:rPr>
          <w:lang w:val="nl-NL"/>
        </w:rPr>
        <w:t>Nghị quyết này được Hội đồng nhân dân xã khóa XXI, Kỳ họp thứ 3 thông qua ngà</w:t>
      </w:r>
      <w:r>
        <w:rPr>
          <w:lang w:val="vi-VN"/>
        </w:rPr>
        <w:t>y</w:t>
      </w:r>
      <w:r>
        <w:rPr>
          <w:lang w:val="nl-NL"/>
        </w:rPr>
        <w:t xml:space="preserve"> 15 tháng 7 năm 2026 và có hiệu lực từ ngày ký ban hành./</w:t>
      </w:r>
    </w:p>
    <w:tbl>
      <w:tblPr>
        <w:tblW w:w="9180" w:type="dxa"/>
        <w:tblLook w:val="00A0" w:firstRow="1" w:lastRow="0" w:firstColumn="1" w:lastColumn="0" w:noHBand="0" w:noVBand="0"/>
      </w:tblPr>
      <w:tblGrid>
        <w:gridCol w:w="5211"/>
        <w:gridCol w:w="3969"/>
      </w:tblGrid>
      <w:tr>
        <w:tc>
          <w:tcPr>
            <w:tcW w:w="5211" w:type="dxa"/>
          </w:tcPr>
          <w:p>
            <w:pPr>
              <w:jc w:val="both"/>
              <w:rPr>
                <w:b/>
                <w:i/>
                <w:noProof/>
                <w:sz w:val="24"/>
                <w:lang w:val="vi-VN" w:eastAsia="en-GB"/>
              </w:rPr>
            </w:pPr>
            <w:r>
              <w:rPr>
                <w:b/>
                <w:i/>
                <w:noProof/>
                <w:sz w:val="24"/>
                <w:lang w:val="vi-VN" w:eastAsia="en-GB"/>
              </w:rPr>
              <w:t>Nơi nhận:</w:t>
            </w:r>
          </w:p>
          <w:p>
            <w:pPr>
              <w:jc w:val="both"/>
              <w:rPr>
                <w:noProof/>
                <w:sz w:val="22"/>
                <w:lang w:val="nl-NL" w:eastAsia="en-GB"/>
              </w:rPr>
            </w:pPr>
            <w:r>
              <w:rPr>
                <w:noProof/>
                <w:sz w:val="22"/>
                <w:lang w:val="vi-VN" w:eastAsia="en-GB"/>
              </w:rPr>
              <w:t xml:space="preserve">- </w:t>
            </w:r>
            <w:r>
              <w:rPr>
                <w:noProof/>
                <w:sz w:val="22"/>
                <w:lang w:val="nl-NL" w:eastAsia="en-GB"/>
              </w:rPr>
              <w:t>Thường trực HĐND; UBND tỉnh;</w:t>
            </w:r>
          </w:p>
          <w:p>
            <w:pPr>
              <w:jc w:val="both"/>
              <w:rPr>
                <w:noProof/>
                <w:sz w:val="22"/>
                <w:lang w:val="vi-VN" w:eastAsia="en-GB"/>
              </w:rPr>
            </w:pPr>
            <w:r>
              <w:rPr>
                <w:noProof/>
                <w:sz w:val="22"/>
                <w:lang w:val="vi-VN" w:eastAsia="en-GB"/>
              </w:rPr>
              <w:t xml:space="preserve">- Văn phòng </w:t>
            </w:r>
            <w:r>
              <w:rPr>
                <w:noProof/>
                <w:sz w:val="22"/>
                <w:lang w:val="nl-NL" w:eastAsia="en-GB"/>
              </w:rPr>
              <w:t xml:space="preserve">Đoàn ĐBQH và </w:t>
            </w:r>
            <w:r>
              <w:rPr>
                <w:noProof/>
                <w:sz w:val="22"/>
                <w:lang w:val="vi-VN" w:eastAsia="en-GB"/>
              </w:rPr>
              <w:t>HĐND tỉnh;</w:t>
            </w:r>
          </w:p>
          <w:p>
            <w:pPr>
              <w:jc w:val="both"/>
              <w:rPr>
                <w:noProof/>
                <w:sz w:val="22"/>
                <w:lang w:val="vi-VN" w:eastAsia="en-GB"/>
              </w:rPr>
            </w:pPr>
            <w:r>
              <w:rPr>
                <w:noProof/>
                <w:sz w:val="22"/>
                <w:lang w:val="vi-VN" w:eastAsia="en-GB"/>
              </w:rPr>
              <w:t xml:space="preserve">- Văn phòng </w:t>
            </w:r>
            <w:r>
              <w:rPr>
                <w:noProof/>
                <w:sz w:val="22"/>
                <w:lang w:val="nl-NL" w:eastAsia="en-GB"/>
              </w:rPr>
              <w:t>UBND tỉnh</w:t>
            </w:r>
            <w:r>
              <w:rPr>
                <w:noProof/>
                <w:sz w:val="22"/>
                <w:lang w:val="vi-VN" w:eastAsia="en-GB"/>
              </w:rPr>
              <w:t>;</w:t>
            </w:r>
          </w:p>
          <w:p>
            <w:pPr>
              <w:jc w:val="both"/>
              <w:rPr>
                <w:noProof/>
                <w:sz w:val="22"/>
                <w:lang w:val="vi-VN" w:eastAsia="en-GB"/>
              </w:rPr>
            </w:pPr>
            <w:r>
              <w:rPr>
                <w:noProof/>
                <w:sz w:val="22"/>
                <w:lang w:val="vi-VN" w:eastAsia="en-GB"/>
              </w:rPr>
              <w:t>- Ban Chấp hành đảng bộ xã;</w:t>
            </w:r>
          </w:p>
          <w:p>
            <w:pPr>
              <w:jc w:val="both"/>
              <w:rPr>
                <w:noProof/>
                <w:sz w:val="22"/>
                <w:lang w:val="vi-VN" w:eastAsia="en-GB"/>
              </w:rPr>
            </w:pPr>
            <w:r>
              <w:rPr>
                <w:noProof/>
                <w:sz w:val="22"/>
                <w:lang w:val="vi-VN" w:eastAsia="en-GB"/>
              </w:rPr>
              <w:t>- UBMTTQ và các đoàn thể xã;</w:t>
            </w:r>
          </w:p>
          <w:p>
            <w:pPr>
              <w:jc w:val="both"/>
              <w:rPr>
                <w:noProof/>
                <w:sz w:val="22"/>
                <w:lang w:val="vi-VN" w:eastAsia="en-GB"/>
              </w:rPr>
            </w:pPr>
            <w:r>
              <w:rPr>
                <w:noProof/>
                <w:sz w:val="22"/>
                <w:lang w:val="vi-VN" w:eastAsia="en-GB"/>
              </w:rPr>
              <w:t>- Đại biểu HĐND xã khóa XX;</w:t>
            </w:r>
          </w:p>
          <w:p>
            <w:pPr>
              <w:jc w:val="both"/>
              <w:rPr>
                <w:noProof/>
                <w:sz w:val="22"/>
                <w:lang w:val="vi-VN" w:eastAsia="en-GB"/>
              </w:rPr>
            </w:pPr>
            <w:r>
              <w:rPr>
                <w:noProof/>
                <w:sz w:val="22"/>
                <w:lang w:val="vi-VN" w:eastAsia="en-GB"/>
              </w:rPr>
              <w:t>- Các phòng, ban, đơn vị xã;</w:t>
            </w:r>
          </w:p>
          <w:p>
            <w:pPr>
              <w:jc w:val="both"/>
              <w:rPr>
                <w:noProof/>
                <w:sz w:val="22"/>
                <w:lang w:val="vi-VN" w:eastAsia="en-GB"/>
              </w:rPr>
            </w:pPr>
            <w:r>
              <w:rPr>
                <w:noProof/>
                <w:sz w:val="22"/>
                <w:lang w:val="vi-VN" w:eastAsia="en-GB"/>
              </w:rPr>
              <w:t>- Các cơ quan, đơn vị đóng trên địa bàn;</w:t>
            </w:r>
          </w:p>
          <w:p>
            <w:pPr>
              <w:rPr>
                <w:noProof/>
                <w:sz w:val="22"/>
                <w:szCs w:val="16"/>
                <w:lang w:val="vi-VN"/>
              </w:rPr>
            </w:pPr>
            <w:r>
              <w:rPr>
                <w:noProof/>
                <w:sz w:val="22"/>
                <w:szCs w:val="16"/>
                <w:lang w:val="vi-VN"/>
              </w:rPr>
              <w:t>- BBT Cổng thông tin điện tử xã;</w:t>
            </w:r>
          </w:p>
          <w:p>
            <w:pPr>
              <w:jc w:val="both"/>
              <w:rPr>
                <w:noProof/>
                <w:sz w:val="22"/>
                <w:lang w:val="vi-VN" w:eastAsia="en-GB"/>
              </w:rPr>
            </w:pPr>
            <w:r>
              <w:rPr>
                <w:noProof/>
                <w:sz w:val="22"/>
                <w:lang w:val="vi-VN" w:eastAsia="en-GB"/>
              </w:rPr>
              <w:t>- Lưu: VT.</w:t>
            </w:r>
          </w:p>
          <w:p>
            <w:pPr>
              <w:jc w:val="both"/>
              <w:rPr>
                <w:i/>
                <w:noProof/>
                <w:lang w:val="vi-VN" w:eastAsia="en-GB"/>
              </w:rPr>
            </w:pPr>
            <w:r>
              <w:rPr>
                <w:i/>
                <w:noProof/>
                <w:sz w:val="22"/>
                <w:lang w:val="vi-VN" w:eastAsia="en-GB"/>
              </w:rPr>
              <w:t>- Gửi VB điện tử, VB giấy./.</w:t>
            </w:r>
          </w:p>
        </w:tc>
        <w:tc>
          <w:tcPr>
            <w:tcW w:w="3969" w:type="dxa"/>
          </w:tcPr>
          <w:p>
            <w:pPr>
              <w:jc w:val="center"/>
              <w:rPr>
                <w:b/>
                <w:noProof/>
                <w:lang w:eastAsia="en-GB"/>
              </w:rPr>
            </w:pPr>
            <w:r>
              <w:rPr>
                <w:b/>
                <w:noProof/>
                <w:lang w:eastAsia="en-GB"/>
              </w:rPr>
              <w:t>CHỦ TỊCH</w:t>
            </w:r>
          </w:p>
          <w:p>
            <w:pPr>
              <w:jc w:val="center"/>
              <w:rPr>
                <w:b/>
                <w:noProof/>
                <w:lang w:eastAsia="en-GB"/>
              </w:rPr>
            </w:pPr>
          </w:p>
          <w:p>
            <w:pPr>
              <w:jc w:val="center"/>
              <w:rPr>
                <w:b/>
                <w:noProof/>
                <w:lang w:eastAsia="en-GB"/>
              </w:rPr>
            </w:pPr>
          </w:p>
          <w:p>
            <w:pPr>
              <w:jc w:val="center"/>
              <w:rPr>
                <w:b/>
                <w:noProof/>
                <w:lang w:eastAsia="en-GB"/>
              </w:rPr>
            </w:pPr>
          </w:p>
          <w:p>
            <w:pPr>
              <w:jc w:val="center"/>
              <w:rPr>
                <w:b/>
                <w:noProof/>
                <w:lang w:eastAsia="en-GB"/>
              </w:rPr>
            </w:pPr>
          </w:p>
          <w:p>
            <w:pPr>
              <w:jc w:val="center"/>
              <w:rPr>
                <w:b/>
                <w:noProof/>
                <w:lang w:eastAsia="en-GB"/>
              </w:rPr>
            </w:pPr>
          </w:p>
          <w:p>
            <w:pPr>
              <w:jc w:val="center"/>
              <w:rPr>
                <w:b/>
                <w:noProof/>
                <w:lang w:eastAsia="en-GB"/>
              </w:rPr>
            </w:pPr>
          </w:p>
          <w:p>
            <w:pPr>
              <w:rPr>
                <w:b/>
                <w:noProof/>
                <w:lang w:eastAsia="en-GB"/>
              </w:rPr>
            </w:pPr>
          </w:p>
          <w:p>
            <w:pPr>
              <w:rPr>
                <w:b/>
                <w:noProof/>
                <w:lang w:eastAsia="en-GB"/>
              </w:rPr>
            </w:pPr>
          </w:p>
          <w:p>
            <w:pPr>
              <w:jc w:val="center"/>
              <w:rPr>
                <w:b/>
                <w:noProof/>
                <w:lang w:eastAsia="en-GB"/>
              </w:rPr>
            </w:pPr>
            <w:r>
              <w:rPr>
                <w:b/>
                <w:noProof/>
                <w:lang w:eastAsia="en-GB"/>
              </w:rPr>
              <w:t>Nguyễn Ngọc Hoạch</w:t>
            </w:r>
          </w:p>
          <w:p>
            <w:pPr>
              <w:jc w:val="center"/>
              <w:rPr>
                <w:b/>
                <w:noProof/>
                <w:lang w:eastAsia="en-GB"/>
              </w:rPr>
            </w:pPr>
          </w:p>
          <w:p>
            <w:pPr>
              <w:jc w:val="center"/>
              <w:rPr>
                <w:b/>
                <w:noProof/>
                <w:lang w:eastAsia="en-GB"/>
              </w:rPr>
            </w:pPr>
          </w:p>
          <w:p>
            <w:pPr>
              <w:jc w:val="center"/>
              <w:rPr>
                <w:b/>
                <w:noProof/>
                <w:lang w:eastAsia="en-GB"/>
              </w:rPr>
            </w:pPr>
          </w:p>
          <w:p>
            <w:pPr>
              <w:rPr>
                <w:b/>
                <w:noProof/>
                <w:sz w:val="20"/>
                <w:lang w:eastAsia="en-GB"/>
              </w:rPr>
            </w:pPr>
          </w:p>
        </w:tc>
      </w:tr>
    </w:tbl>
    <w:p>
      <w:pPr>
        <w:pStyle w:val="Body1"/>
        <w:spacing w:before="120"/>
        <w:jc w:val="both"/>
        <w:rPr>
          <w:color w:val="auto"/>
          <w:sz w:val="27"/>
          <w:szCs w:val="27"/>
          <w:lang w:val="de-DE"/>
        </w:rPr>
      </w:pPr>
    </w:p>
    <w:sectPr>
      <w:headerReference w:type="default" r:id="rId8"/>
      <w:pgSz w:w="11907" w:h="16840" w:code="9"/>
      <w:pgMar w:top="1134" w:right="851" w:bottom="1134" w:left="1701" w:header="720" w:footer="78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077103"/>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0A579A"/>
    <w:multiLevelType w:val="hybridMultilevel"/>
    <w:tmpl w:val="EA24FE2A"/>
    <w:lvl w:ilvl="0" w:tplc="073022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C86EC8"/>
    <w:multiLevelType w:val="hybridMultilevel"/>
    <w:tmpl w:val="8F7043EE"/>
    <w:lvl w:ilvl="0" w:tplc="9CA857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BB807A8"/>
    <w:multiLevelType w:val="multilevel"/>
    <w:tmpl w:val="DB2A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412EDA"/>
    <w:multiLevelType w:val="hybridMultilevel"/>
    <w:tmpl w:val="53B4942E"/>
    <w:lvl w:ilvl="0" w:tplc="663A5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551A8F4-1549-4695-A8CA-47956849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5B9BD5"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ListParagraph">
    <w:name w:val="List Paragraph"/>
    <w:basedOn w:val="Normal"/>
    <w:qFormat/>
    <w:pPr>
      <w:ind w:left="720"/>
      <w:contextualSpacing/>
    </w:pPr>
  </w:style>
  <w:style w:type="paragraph" w:customStyle="1" w:styleId="Body1">
    <w:name w:val="Body 1"/>
    <w:pPr>
      <w:outlineLvl w:val="0"/>
    </w:pPr>
    <w:rPr>
      <w:rFonts w:eastAsia="Arial Unicode MS"/>
      <w:color w:val="000000"/>
      <w:sz w:val="28"/>
      <w:u w:color="00000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Char Char,ft,C"/>
    <w:basedOn w:val="Normal"/>
    <w:link w:val="FootnoteTextChar"/>
    <w:unhideWhenUsed/>
    <w:qFormat/>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
    <w:link w:val="FootnoteText"/>
    <w:uiPriority w:val="99"/>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Footnote dich,R"/>
    <w:link w:val="CharChar1CharCharCharChar1CharCharCharCharCharCharCharChar"/>
    <w:uiPriority w:val="99"/>
    <w:qFormat/>
    <w:rPr>
      <w:vertAlign w:val="superscript"/>
    </w:rPr>
  </w:style>
  <w:style w:type="paragraph" w:styleId="Footer">
    <w:name w:val="footer"/>
    <w:basedOn w:val="Normal"/>
    <w:link w:val="FooterChar"/>
    <w:uiPriority w:val="99"/>
    <w:pPr>
      <w:tabs>
        <w:tab w:val="center" w:pos="4680"/>
        <w:tab w:val="right" w:pos="9360"/>
      </w:tabs>
    </w:pPr>
    <w:rPr>
      <w:sz w:val="24"/>
      <w:szCs w:val="24"/>
      <w:lang w:val="x-none" w:eastAsia="x-none"/>
    </w:rPr>
  </w:style>
  <w:style w:type="character" w:customStyle="1" w:styleId="FooterChar">
    <w:name w:val="Footer Char"/>
    <w:link w:val="Footer"/>
    <w:uiPriority w:val="99"/>
    <w:rPr>
      <w:rFonts w:eastAsia="Times New Roman" w:cs="Times New Roman"/>
      <w:sz w:val="24"/>
      <w:szCs w:val="24"/>
    </w:rPr>
  </w:style>
  <w:style w:type="character" w:styleId="PageNumber">
    <w:name w:val="page number"/>
    <w:basedOn w:val="DefaultParagraphFont"/>
  </w:style>
  <w:style w:type="paragraph" w:styleId="Header">
    <w:name w:val="header"/>
    <w:basedOn w:val="Normal"/>
    <w:link w:val="HeaderChar"/>
    <w:uiPriority w:val="99"/>
    <w:unhideWhenUsed/>
    <w:pPr>
      <w:tabs>
        <w:tab w:val="center" w:pos="4680"/>
        <w:tab w:val="right" w:pos="9360"/>
      </w:tabs>
    </w:pPr>
    <w:rPr>
      <w:sz w:val="20"/>
      <w:lang w:val="x-none" w:eastAsia="x-none"/>
    </w:rPr>
  </w:style>
  <w:style w:type="character" w:customStyle="1" w:styleId="HeaderChar">
    <w:name w:val="Header Char"/>
    <w:link w:val="Header"/>
    <w:uiPriority w:val="99"/>
    <w:rPr>
      <w:rFonts w:eastAsia="Times New Roman" w:cs="Times New Roman"/>
      <w:szCs w:val="28"/>
    </w:rPr>
  </w:style>
  <w:style w:type="paragraph" w:customStyle="1" w:styleId="CharCharCharChar">
    <w:name w:val="Char Char Char Char"/>
    <w:basedOn w:val="Normal"/>
    <w:semiHidden/>
    <w:pPr>
      <w:spacing w:after="160" w:line="240" w:lineRule="exact"/>
    </w:pPr>
    <w:rPr>
      <w:rFonts w:ascii="Arial" w:hAnsi="Arial"/>
      <w:sz w:val="22"/>
      <w:szCs w:val="22"/>
    </w:rPr>
  </w:style>
  <w:style w:type="paragraph" w:styleId="BodyTextIndent">
    <w:name w:val="Body Text Indent"/>
    <w:basedOn w:val="Normal"/>
    <w:link w:val="BodyTextIndentChar"/>
    <w:pPr>
      <w:spacing w:before="120"/>
      <w:ind w:firstLine="720"/>
      <w:jc w:val="both"/>
    </w:pPr>
    <w:rPr>
      <w:rFonts w:ascii=".VnTime" w:hAnsi=".VnTime"/>
      <w:sz w:val="20"/>
      <w:szCs w:val="20"/>
      <w:lang w:val="x-none" w:eastAsia="x-none"/>
    </w:rPr>
  </w:style>
  <w:style w:type="character" w:customStyle="1" w:styleId="BodyTextIndentChar">
    <w:name w:val="Body Text Indent Char"/>
    <w:link w:val="BodyTextIndent"/>
    <w:rPr>
      <w:rFonts w:ascii=".VnTime" w:eastAsia="Times New Roman" w:hAnsi=".VnTime" w:cs="Times New Roman"/>
      <w:szCs w:val="20"/>
    </w:rPr>
  </w:style>
  <w:style w:type="paragraph" w:styleId="BodyText">
    <w:name w:val="Body Text"/>
    <w:basedOn w:val="Normal"/>
    <w:link w:val="BodyTextChar"/>
    <w:unhideWhenUsed/>
    <w:pPr>
      <w:spacing w:after="120"/>
    </w:pPr>
    <w:rPr>
      <w:sz w:val="20"/>
      <w:lang w:val="x-none" w:eastAsia="x-none"/>
    </w:rPr>
  </w:style>
  <w:style w:type="character" w:customStyle="1" w:styleId="BodyTextChar">
    <w:name w:val="Body Text Char"/>
    <w:link w:val="BodyText"/>
    <w:rPr>
      <w:rFonts w:eastAsia="Times New Roman" w:cs="Times New Roman"/>
      <w:szCs w:val="28"/>
    </w:rPr>
  </w:style>
  <w:style w:type="paragraph" w:styleId="BodyTextIndent2">
    <w:name w:val="Body Text Indent 2"/>
    <w:basedOn w:val="Normal"/>
    <w:link w:val="BodyTextIndent2Char"/>
    <w:pPr>
      <w:spacing w:after="120" w:line="480" w:lineRule="auto"/>
      <w:ind w:left="360"/>
    </w:pPr>
    <w:rPr>
      <w:lang w:val="x-none" w:eastAsia="x-none"/>
    </w:rPr>
  </w:style>
  <w:style w:type="character" w:customStyle="1" w:styleId="BodyTextIndent2Char">
    <w:name w:val="Body Text Indent 2 Char"/>
    <w:link w:val="BodyTextIndent2"/>
    <w:rPr>
      <w:rFonts w:eastAsia="Times New Roman"/>
      <w:sz w:val="28"/>
      <w:szCs w:val="28"/>
    </w:rPr>
  </w:style>
  <w:style w:type="paragraph" w:customStyle="1" w:styleId="04Body-KTXH2017">
    <w:name w:val="04.Body-KTXH2017"/>
    <w:basedOn w:val="Normal"/>
    <w:link w:val="04Body-KTXH2017Char"/>
    <w:qFormat/>
    <w:pPr>
      <w:spacing w:before="120" w:after="120" w:line="288" w:lineRule="auto"/>
      <w:ind w:firstLine="720"/>
      <w:jc w:val="both"/>
    </w:pPr>
    <w:rPr>
      <w:szCs w:val="24"/>
      <w:lang w:val="it-IT" w:eastAsia="x-none"/>
    </w:rPr>
  </w:style>
  <w:style w:type="character" w:customStyle="1" w:styleId="04Body-KTXH2017Char">
    <w:name w:val="04.Body-KTXH2017 Char"/>
    <w:link w:val="04Body-KTXH2017"/>
    <w:rPr>
      <w:rFonts w:eastAsia="Times New Roman"/>
      <w:sz w:val="28"/>
      <w:szCs w:val="24"/>
      <w:lang w:val="it-IT"/>
    </w:rPr>
  </w:style>
  <w:style w:type="paragraph" w:customStyle="1" w:styleId="04">
    <w:name w:val="04"/>
    <w:aliases w:val="Body-KTXH2017"/>
    <w:basedOn w:val="Normal"/>
    <w:link w:val="041"/>
    <w:pPr>
      <w:spacing w:before="120" w:after="120" w:line="288" w:lineRule="auto"/>
      <w:ind w:firstLine="720"/>
      <w:jc w:val="both"/>
    </w:pPr>
    <w:rPr>
      <w:sz w:val="24"/>
      <w:szCs w:val="20"/>
      <w:lang w:val="it-IT" w:eastAsia="x-none"/>
    </w:rPr>
  </w:style>
  <w:style w:type="character" w:customStyle="1" w:styleId="041">
    <w:name w:val="041"/>
    <w:aliases w:val="Body-KTXH2017 Char"/>
    <w:link w:val="04"/>
    <w:locked/>
    <w:rPr>
      <w:rFonts w:eastAsia="Times New Roman"/>
      <w:sz w:val="24"/>
      <w:lang w:val="it-IT"/>
    </w:rPr>
  </w:style>
  <w:style w:type="paragraph" w:customStyle="1" w:styleId="03">
    <w:name w:val="03"/>
    <w:aliases w:val="Dieu-KTXH2017"/>
    <w:basedOn w:val="Normal"/>
    <w:link w:val="031"/>
    <w:pPr>
      <w:spacing w:before="120" w:after="120" w:line="288" w:lineRule="auto"/>
      <w:ind w:firstLine="720"/>
      <w:jc w:val="both"/>
      <w:outlineLvl w:val="0"/>
    </w:pPr>
    <w:rPr>
      <w:b/>
      <w:szCs w:val="20"/>
      <w:lang w:val="it-IT" w:eastAsia="x-none"/>
    </w:rPr>
  </w:style>
  <w:style w:type="character" w:customStyle="1" w:styleId="031">
    <w:name w:val="031"/>
    <w:aliases w:val="Dieu-KTXH2017 Char"/>
    <w:link w:val="03"/>
    <w:locked/>
    <w:rPr>
      <w:rFonts w:eastAsia="Times New Roman"/>
      <w:b/>
      <w:sz w:val="28"/>
      <w:lang w:val="it-IT"/>
    </w:rPr>
  </w:style>
  <w:style w:type="paragraph" w:customStyle="1" w:styleId="NormalJustified">
    <w:name w:val="Normal + Justified"/>
    <w:aliases w:val="First line:  1 cm,Before:  3 pt,Line spacing:  At least..."/>
    <w:basedOn w:val="Normal"/>
    <w:rPr>
      <w:b/>
    </w:rPr>
  </w:style>
  <w:style w:type="paragraph" w:customStyle="1" w:styleId="pbody">
    <w:name w:val="pbody"/>
    <w:basedOn w:val="Normal"/>
    <w:uiPriority w:val="99"/>
    <w:pPr>
      <w:spacing w:before="100" w:beforeAutospacing="1" w:after="100" w:afterAutospacing="1"/>
    </w:pPr>
    <w:rPr>
      <w:rFonts w:eastAsia="MS Mincho"/>
      <w:sz w:val="24"/>
      <w:szCs w:val="24"/>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uiPriority w:val="99"/>
    <w:qFormat/>
    <w:locked/>
    <w:rPr>
      <w:rFonts w:eastAsia="MS Mincho" w:cs="Times New Roman"/>
      <w:sz w:val="20"/>
      <w:szCs w:val="20"/>
      <w:lang w:eastAsia="ja-JP"/>
    </w:rPr>
  </w:style>
  <w:style w:type="paragraph" w:customStyle="1" w:styleId="0normal">
    <w:name w:val="0normal"/>
    <w:basedOn w:val="Normal"/>
    <w:pPr>
      <w:spacing w:before="100" w:beforeAutospacing="1" w:after="100" w:afterAutospacing="1"/>
    </w:pPr>
    <w:rPr>
      <w:rFonts w:eastAsia="SimSun"/>
      <w:sz w:val="24"/>
      <w:szCs w:val="24"/>
    </w:rPr>
  </w:style>
  <w:style w:type="paragraph" w:customStyle="1" w:styleId="Normal1">
    <w:name w:val="Normal1"/>
    <w:rPr>
      <w:rFonts w:eastAsia="Times New Roman"/>
      <w:sz w:val="24"/>
      <w:szCs w:val="24"/>
      <w:lang w:val="nl-NL" w:eastAsia="vi-VN"/>
    </w:rPr>
  </w:style>
  <w:style w:type="paragraph" w:styleId="NormalWeb">
    <w:name w:val="Normal (Web)"/>
    <w:basedOn w:val="Normal"/>
    <w:uiPriority w:val="99"/>
    <w:pPr>
      <w:spacing w:before="100" w:beforeAutospacing="1" w:after="100" w:afterAutospacing="1"/>
    </w:pPr>
    <w:rPr>
      <w:sz w:val="24"/>
      <w:szCs w:val="24"/>
    </w:rPr>
  </w:style>
  <w:style w:type="paragraph" w:styleId="NoSpacing">
    <w:name w:val="No Spacing"/>
    <w:uiPriority w:val="1"/>
    <w:qFormat/>
    <w:rPr>
      <w:rFonts w:eastAsia="Times New Roman"/>
      <w:sz w:val="28"/>
      <w:szCs w:val="2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eastAsia="Times New Roman"/>
      <w:lang w:val="en-US" w:eastAsia="en-US"/>
    </w:rPr>
  </w:style>
  <w:style w:type="character" w:styleId="EndnoteReference">
    <w:name w:val="endnote reference"/>
    <w:uiPriority w:val="99"/>
    <w:semiHidden/>
    <w:unhideWhenUsed/>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pPr>
      <w:spacing w:after="160" w:line="240" w:lineRule="exact"/>
    </w:pPr>
    <w:rPr>
      <w:rFonts w:eastAsia="Calibri"/>
      <w:sz w:val="20"/>
      <w:szCs w:val="20"/>
      <w:vertAlign w:val="superscript"/>
    </w:rPr>
  </w:style>
  <w:style w:type="character" w:customStyle="1" w:styleId="apple-converted-space">
    <w:name w:val="apple-converted-space"/>
    <w:basedOn w:val="DefaultParagraphFont"/>
  </w:style>
  <w:style w:type="character" w:customStyle="1" w:styleId="fontstyle01">
    <w:name w:val="fontstyle01"/>
    <w:basedOn w:val="DefaultParagraphFont"/>
    <w:rPr>
      <w:rFonts w:ascii="Times New Roman" w:hAnsi="Times New Roman" w:cs="Times New Roman" w:hint="default"/>
      <w:b w:val="0"/>
      <w:bCs w:val="0"/>
      <w:i w:val="0"/>
      <w:iCs w:val="0"/>
      <w:color w:val="000000"/>
      <w:sz w:val="30"/>
      <w:szCs w:val="3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character" w:styleId="Emphasis">
    <w:name w:val="Emphasis"/>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917997">
      <w:bodyDiv w:val="1"/>
      <w:marLeft w:val="0"/>
      <w:marRight w:val="0"/>
      <w:marTop w:val="0"/>
      <w:marBottom w:val="0"/>
      <w:divBdr>
        <w:top w:val="none" w:sz="0" w:space="0" w:color="auto"/>
        <w:left w:val="none" w:sz="0" w:space="0" w:color="auto"/>
        <w:bottom w:val="none" w:sz="0" w:space="0" w:color="auto"/>
        <w:right w:val="none" w:sz="0" w:space="0" w:color="auto"/>
      </w:divBdr>
    </w:div>
    <w:div w:id="20021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D95B-BBDD-413D-97F2-88130A04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Administrator</cp:lastModifiedBy>
  <cp:revision>3</cp:revision>
  <cp:lastPrinted>2021-01-11T03:28:00Z</cp:lastPrinted>
  <dcterms:created xsi:type="dcterms:W3CDTF">2026-07-16T07:45:00Z</dcterms:created>
  <dcterms:modified xsi:type="dcterms:W3CDTF">2026-07-16T08:33:00Z</dcterms:modified>
</cp:coreProperties>
</file>