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rPr>
          <w:sz w:val="2"/>
        </w:rPr>
      </w:pPr>
    </w:p>
    <w:tbl>
      <w:tblPr>
        <w:tblW w:w="10018" w:type="dxa"/>
        <w:tblInd w:w="-426" w:type="dxa"/>
        <w:tblLayout w:type="fixed"/>
        <w:tblLook w:val="0000" w:firstRow="0" w:lastRow="0" w:firstColumn="0" w:lastColumn="0" w:noHBand="0" w:noVBand="0"/>
      </w:tblPr>
      <w:tblGrid>
        <w:gridCol w:w="3936"/>
        <w:gridCol w:w="6082"/>
      </w:tblGrid>
      <w:tr>
        <w:tc>
          <w:tcPr>
            <w:tcW w:w="3936" w:type="dxa"/>
          </w:tcPr>
          <w:p>
            <w:pPr>
              <w:jc w:val="center"/>
              <w:rPr>
                <w:b/>
                <w:bCs/>
                <w:sz w:val="28"/>
                <w:szCs w:val="28"/>
                <w:lang w:val="pt-BR"/>
              </w:rPr>
            </w:pPr>
            <w:r>
              <w:rPr>
                <w:b/>
                <w:bCs/>
                <w:sz w:val="26"/>
                <w:szCs w:val="28"/>
                <w:lang w:val="pt-BR"/>
              </w:rPr>
              <w:t>HỘI ĐỒNG NHÂN DÂN</w:t>
            </w:r>
          </w:p>
          <w:p>
            <w:pPr>
              <w:jc w:val="center"/>
              <w:rPr>
                <w:b/>
                <w:bCs/>
                <w:sz w:val="28"/>
                <w:szCs w:val="28"/>
                <w:lang w:val="pt-BR"/>
              </w:rPr>
            </w:pPr>
            <w:r>
              <w:rPr>
                <w:b/>
                <w:bCs/>
                <w:sz w:val="28"/>
                <w:szCs w:val="28"/>
              </w:rPr>
              <w:t>XÃ KỲ VĂN</w:t>
            </w:r>
          </w:p>
          <w:p>
            <w:pPr>
              <w:jc w:val="center"/>
              <w:rPr>
                <w:b/>
                <w:bCs/>
                <w:sz w:val="28"/>
                <w:szCs w:val="28"/>
                <w:lang w:val="pt-BR"/>
              </w:rPr>
            </w:pPr>
            <w:r>
              <w:rPr>
                <w:b/>
                <w:bCs/>
                <w:noProof/>
                <w:sz w:val="28"/>
                <w:szCs w:val="28"/>
              </w:rPr>
              <mc:AlternateContent>
                <mc:Choice Requires="wps">
                  <w:drawing>
                    <wp:anchor distT="0" distB="0" distL="114300" distR="114300" simplePos="0" relativeHeight="251663360" behindDoc="0" locked="0" layoutInCell="1" allowOverlap="1">
                      <wp:simplePos x="0" y="0"/>
                      <wp:positionH relativeFrom="column">
                        <wp:posOffset>820420</wp:posOffset>
                      </wp:positionH>
                      <wp:positionV relativeFrom="paragraph">
                        <wp:posOffset>15875</wp:posOffset>
                      </wp:positionV>
                      <wp:extent cx="720090" cy="0"/>
                      <wp:effectExtent l="0" t="0" r="0" b="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6"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4.6pt,1.25pt" to="121.3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"/>
                  </w:pict>
                </mc:Fallback>
              </mc:AlternateContent>
            </w:r>
          </w:p>
        </w:tc>
        <w:tc>
          <w:tcPr>
            <w:tcW w:w="6082" w:type="dxa"/>
          </w:tcPr>
          <w:p>
            <w:pPr>
              <w:jc w:val="center"/>
              <w:rPr>
                <w:b/>
                <w:bCs/>
                <w:sz w:val="26"/>
                <w:szCs w:val="28"/>
                <w:lang w:val="pt-BR"/>
              </w:rPr>
            </w:pPr>
            <w:r>
              <w:rPr>
                <w:b/>
                <w:bCs/>
                <w:sz w:val="26"/>
                <w:szCs w:val="28"/>
                <w:lang w:val="pt-BR"/>
              </w:rPr>
              <w:t>CỘNG HOÀ XÃ HỘI CHỦ NGHĨA VIỆT NAM</w:t>
            </w:r>
          </w:p>
          <w:p>
            <w:pPr>
              <w:jc w:val="center"/>
              <w:rPr>
                <w:b/>
                <w:bCs/>
                <w:sz w:val="28"/>
                <w:szCs w:val="28"/>
                <w:lang w:val="pt-BR"/>
              </w:rPr>
            </w:pPr>
            <w:r>
              <w:rPr>
                <w:b/>
                <w:bCs/>
                <w:noProof/>
                <w:sz w:val="28"/>
                <w:szCs w:val="28"/>
              </w:rPr>
              <mc:AlternateContent>
                <mc:Choice Requires="wps">
                  <w:drawing>
                    <wp:anchor distT="0" distB="0" distL="114300" distR="114300" simplePos="0" relativeHeight="251664384" behindDoc="0" locked="0" layoutInCell="1" allowOverlap="1">
                      <wp:simplePos x="0" y="0"/>
                      <wp:positionH relativeFrom="column">
                        <wp:posOffset>789940</wp:posOffset>
                      </wp:positionH>
                      <wp:positionV relativeFrom="paragraph">
                        <wp:posOffset>222250</wp:posOffset>
                      </wp:positionV>
                      <wp:extent cx="216027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02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5"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2pt,17.5pt" to="232.3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"/>
                  </w:pict>
                </mc:Fallback>
              </mc:AlternateContent>
            </w:r>
            <w:r>
              <w:rPr>
                <w:b/>
                <w:bCs/>
                <w:sz w:val="28"/>
                <w:szCs w:val="28"/>
                <w:lang w:val="pt-BR"/>
              </w:rPr>
              <w:t>Độc lập - Tự do - Hạnh phúc</w:t>
            </w:r>
          </w:p>
        </w:tc>
      </w:tr>
      <w:tr>
        <w:tc>
          <w:tcPr>
            <w:tcW w:w="3936" w:type="dxa"/>
          </w:tcPr>
          <w:p>
            <w:pPr>
              <w:jc w:val="center"/>
              <w:rPr>
                <w:b/>
                <w:bCs/>
                <w:sz w:val="28"/>
                <w:szCs w:val="28"/>
              </w:rPr>
            </w:pPr>
            <w:r>
              <w:rPr>
                <w:sz w:val="28"/>
                <w:szCs w:val="28"/>
              </w:rPr>
              <w:t>Số: 17/NQ</w:t>
            </w:r>
            <w:r>
              <w:rPr>
                <w:sz w:val="28"/>
                <w:szCs w:val="28"/>
                <w:lang w:val="vi-VN"/>
              </w:rPr>
              <w:t xml:space="preserve"> </w:t>
            </w:r>
            <w:r>
              <w:rPr>
                <w:sz w:val="28"/>
                <w:szCs w:val="28"/>
              </w:rPr>
              <w:t>-</w:t>
            </w:r>
            <w:r>
              <w:rPr>
                <w:sz w:val="28"/>
                <w:szCs w:val="28"/>
                <w:lang w:val="vi-VN"/>
              </w:rPr>
              <w:t xml:space="preserve"> </w:t>
            </w:r>
            <w:r>
              <w:rPr>
                <w:sz w:val="28"/>
                <w:szCs w:val="28"/>
              </w:rPr>
              <w:t>HĐND</w:t>
            </w:r>
          </w:p>
        </w:tc>
        <w:tc>
          <w:tcPr>
            <w:tcW w:w="6082" w:type="dxa"/>
          </w:tcPr>
          <w:p>
            <w:pPr>
              <w:pStyle w:val="Caption"/>
              <w:ind w:left="0"/>
              <w:jc w:val="center"/>
              <w:rPr>
                <w:b w:val="0"/>
                <w:bCs w:val="0"/>
                <w:sz w:val="28"/>
                <w:szCs w:val="28"/>
              </w:rPr>
            </w:pPr>
            <w:r>
              <w:rPr>
                <w:b w:val="0"/>
                <w:bCs w:val="0"/>
                <w:sz w:val="28"/>
                <w:szCs w:val="28"/>
              </w:rPr>
              <w:t>Kỳ Văn, ngày 30 tháng 6 năm 2026</w:t>
            </w:r>
          </w:p>
        </w:tc>
      </w:tr>
    </w:tbl>
    <w:p>
      <w:pPr>
        <w:rPr>
          <w:b/>
          <w:sz w:val="28"/>
          <w:szCs w:val="28"/>
          <w:lang w:val="pt-BR"/>
        </w:rPr>
      </w:pPr>
    </w:p>
    <w:p>
      <w:pPr>
        <w:pStyle w:val="BodyText"/>
        <w:jc w:val="center"/>
        <w:rPr>
          <w:rFonts w:ascii="Times New Roman" w:hAnsi="Times New Roman" w:cs="Times New Roman"/>
          <w:b/>
          <w:sz w:val="22"/>
          <w:lang w:val="pt-BR"/>
        </w:rPr>
      </w:pPr>
    </w:p>
    <w:p>
      <w:pPr>
        <w:pStyle w:val="BodyText"/>
        <w:jc w:val="center"/>
        <w:rPr>
          <w:rFonts w:ascii="Times New Roman" w:hAnsi="Times New Roman" w:cs="Times New Roman"/>
          <w:b/>
          <w:lang w:val="pt-BR"/>
        </w:rPr>
      </w:pPr>
      <w:r>
        <w:rPr>
          <w:rFonts w:ascii="Times New Roman" w:hAnsi="Times New Roman" w:cs="Times New Roman"/>
          <w:b/>
          <w:lang w:val="pt-BR"/>
        </w:rPr>
        <w:t>NGHỊ QUYẾT</w:t>
      </w:r>
    </w:p>
    <w:p>
      <w:pPr>
        <w:keepNext/>
        <w:ind w:left="-112" w:right="-16"/>
        <w:jc w:val="center"/>
        <w:outlineLvl w:val="1"/>
        <w:rPr>
          <w:b/>
          <w:sz w:val="28"/>
          <w:szCs w:val="28"/>
          <w:lang w:val="nl-NL"/>
        </w:rPr>
      </w:pPr>
      <w:r>
        <w:rPr>
          <w:b/>
          <w:sz w:val="28"/>
          <w:szCs w:val="28"/>
          <w:lang w:val="pt-BR"/>
        </w:rPr>
        <w:t>Điều chỉnh, bổ sung k</w:t>
      </w:r>
      <w:r>
        <w:rPr>
          <w:b/>
          <w:sz w:val="28"/>
          <w:szCs w:val="28"/>
          <w:lang w:val="nl-NL"/>
        </w:rPr>
        <w:t>ế hoạch đầu tư công năm 2026;</w:t>
      </w:r>
    </w:p>
    <w:p>
      <w:pPr>
        <w:keepNext/>
        <w:ind w:left="-112" w:right="-16"/>
        <w:jc w:val="center"/>
        <w:outlineLvl w:val="1"/>
        <w:rPr>
          <w:b/>
          <w:sz w:val="28"/>
          <w:szCs w:val="28"/>
          <w:lang w:val="nl-NL"/>
        </w:rPr>
      </w:pPr>
      <w:r>
        <w:rPr>
          <w:b/>
          <w:sz w:val="28"/>
          <w:szCs w:val="28"/>
          <w:lang w:val="nl-NL"/>
        </w:rPr>
        <w:t>Bổ sung Dự kiến Danh mục đầu tư công trung hạn giai đoạn năm 2026</w:t>
      </w:r>
      <w:r>
        <w:rPr>
          <w:b/>
          <w:sz w:val="28"/>
          <w:szCs w:val="28"/>
          <w:lang w:val="vi-VN"/>
        </w:rPr>
        <w:t xml:space="preserve"> </w:t>
      </w:r>
      <w:r>
        <w:rPr>
          <w:b/>
          <w:sz w:val="28"/>
          <w:szCs w:val="28"/>
          <w:lang w:val="nl-NL"/>
        </w:rPr>
        <w:t>-</w:t>
      </w:r>
      <w:r>
        <w:rPr>
          <w:b/>
          <w:sz w:val="28"/>
          <w:szCs w:val="28"/>
          <w:lang w:val="vi-VN"/>
        </w:rPr>
        <w:t xml:space="preserve"> </w:t>
      </w:r>
      <w:r>
        <w:rPr>
          <w:b/>
          <w:sz w:val="28"/>
          <w:szCs w:val="28"/>
          <w:lang w:val="nl-NL"/>
        </w:rPr>
        <w:t>2030</w:t>
      </w:r>
    </w:p>
    <w:p>
      <w:pPr>
        <w:keepNext/>
        <w:ind w:left="-112" w:right="-16"/>
        <w:outlineLvl w:val="1"/>
        <w:rPr>
          <w:b/>
          <w:sz w:val="28"/>
          <w:szCs w:val="28"/>
          <w:lang w:val="nl-NL"/>
        </w:rPr>
      </w:pPr>
      <w:r>
        <w:rPr>
          <w:b/>
          <w:noProof/>
          <w:sz w:val="28"/>
          <w:szCs w:val="28"/>
          <w:lang w:val="nl-NL"/>
        </w:rPr>
        <mc:AlternateContent>
          <mc:Choice Requires="wps">
            <w:drawing>
              <wp:anchor distT="0" distB="0" distL="114300" distR="114300" simplePos="0" relativeHeight="251667456" behindDoc="0" locked="0" layoutInCell="1" allowOverlap="1">
                <wp:simplePos x="0" y="0"/>
                <wp:positionH relativeFrom="column">
                  <wp:posOffset>2091690</wp:posOffset>
                </wp:positionH>
                <wp:positionV relativeFrom="paragraph">
                  <wp:posOffset>29845</wp:posOffset>
                </wp:positionV>
                <wp:extent cx="2019300" cy="0"/>
                <wp:effectExtent l="0" t="0" r="0" b="0"/>
                <wp:wrapNone/>
                <wp:docPr id="1" name="Straight Connector 1"/>
                <wp:cNvGraphicFramePr/>
                <a:graphic xmlns:a="http://schemas.openxmlformats.org/drawingml/2006/main">
                  <a:graphicData uri="http://schemas.microsoft.com/office/word/2010/wordprocessingShape">
                    <wps:wsp>
                      <wps:cNvCnPr/>
                      <wps:spPr>
                        <a:xfrm flipV="1">
                          <a:off x="0" y="0"/>
                          <a:ext cx="20193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 o:spid="_x0000_s1026" style="position:absolute;flip: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4.7pt,2.35pt" to="323.7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" strokecolor="black [3200]" strokeweight=".5pt">
                <v:stroke joinstyle="miter"/>
              </v:line>
            </w:pict>
          </mc:Fallback>
        </mc:AlternateContent>
      </w:r>
    </w:p>
    <w:p>
      <w:pPr>
        <w:ind w:firstLine="720"/>
        <w:jc w:val="center"/>
        <w:rPr>
          <w:b/>
          <w:sz w:val="28"/>
          <w:szCs w:val="28"/>
          <w:lang w:val="nl-NL"/>
        </w:rPr>
      </w:pPr>
      <w:r>
        <w:rPr>
          <w:b/>
          <w:sz w:val="28"/>
          <w:szCs w:val="28"/>
          <w:lang w:val="pt-BR"/>
        </w:rPr>
        <w:t xml:space="preserve">HỘI ĐỒNG NHÂN DÂN </w:t>
      </w:r>
      <w:r>
        <w:rPr>
          <w:b/>
          <w:sz w:val="28"/>
          <w:szCs w:val="28"/>
          <w:lang w:val="nl-NL"/>
        </w:rPr>
        <w:t>XÃ KỲ VĂN</w:t>
      </w:r>
    </w:p>
    <w:p>
      <w:pPr>
        <w:ind w:firstLine="720"/>
        <w:jc w:val="center"/>
        <w:rPr>
          <w:b/>
          <w:sz w:val="28"/>
          <w:szCs w:val="28"/>
          <w:lang w:val="pt-BR"/>
        </w:rPr>
      </w:pPr>
      <w:r>
        <w:rPr>
          <w:b/>
          <w:sz w:val="28"/>
          <w:szCs w:val="28"/>
          <w:lang w:val="pt-BR"/>
        </w:rPr>
        <w:t xml:space="preserve">KHÓA </w:t>
      </w:r>
      <w:r>
        <w:rPr>
          <w:b/>
          <w:sz w:val="28"/>
          <w:szCs w:val="28"/>
          <w:lang w:val="nl-NL"/>
        </w:rPr>
        <w:t>XXI</w:t>
      </w:r>
      <w:r>
        <w:rPr>
          <w:b/>
          <w:sz w:val="28"/>
          <w:szCs w:val="28"/>
          <w:lang w:val="pt-BR"/>
        </w:rPr>
        <w:t>, KỲ HỌP THỨ HAI</w:t>
      </w:r>
    </w:p>
    <w:p>
      <w:pPr>
        <w:spacing w:before="60" w:after="60"/>
        <w:ind w:firstLine="720"/>
        <w:jc w:val="both"/>
        <w:rPr>
          <w:b/>
          <w:sz w:val="10"/>
          <w:szCs w:val="28"/>
          <w:lang w:val="nl-NL"/>
        </w:rPr>
      </w:pPr>
    </w:p>
    <w:p>
      <w:pPr>
        <w:spacing w:before="60" w:after="60" w:line="264" w:lineRule="auto"/>
        <w:ind w:firstLine="720"/>
        <w:jc w:val="both"/>
        <w:rPr>
          <w:i/>
          <w:sz w:val="28"/>
          <w:szCs w:val="28"/>
          <w:lang w:val="nl-NL"/>
        </w:rPr>
      </w:pPr>
      <w:r>
        <w:rPr>
          <w:i/>
          <w:sz w:val="28"/>
          <w:szCs w:val="28"/>
          <w:lang w:val="vi-VN"/>
        </w:rPr>
        <w:t xml:space="preserve">Căn cứ Luật Tổ chức chính quyền địa phương ngày </w:t>
      </w:r>
      <w:r>
        <w:rPr>
          <w:i/>
          <w:sz w:val="28"/>
          <w:szCs w:val="28"/>
          <w:lang w:val="nl-NL"/>
        </w:rPr>
        <w:t>16 tháng 6 năm 2025;</w:t>
      </w:r>
    </w:p>
    <w:p>
      <w:pPr>
        <w:spacing w:before="60" w:after="60" w:line="264" w:lineRule="auto"/>
        <w:ind w:firstLine="720"/>
        <w:jc w:val="both"/>
        <w:rPr>
          <w:i/>
          <w:sz w:val="28"/>
          <w:szCs w:val="28"/>
          <w:lang w:val="vi-VN"/>
        </w:rPr>
      </w:pPr>
      <w:r>
        <w:rPr>
          <w:i/>
          <w:sz w:val="28"/>
          <w:szCs w:val="28"/>
          <w:lang w:val="vi-VN"/>
        </w:rPr>
        <w:t xml:space="preserve">Căn cứ Luật Ngân sách nhà nước ngày 25/6/2015; Luật sửa đổi, bổ sung một số điều của Luật Chứng khoán, Luật Kế toán, Luật Kiểm toán độc lập, Luật Ngân sách nhà nước, Luật quản lý, sử dụng tài sản công, Luật quản lý thuế, Luật Thuế thu nhập cá nhân, Luật dữ trữ quốc gia, Luật xử lý vi phạm hành chính ngày 29/11/2024; </w:t>
      </w:r>
    </w:p>
    <w:p>
      <w:pPr>
        <w:spacing w:before="60" w:after="60" w:line="264" w:lineRule="auto"/>
        <w:ind w:firstLine="720"/>
        <w:jc w:val="both"/>
        <w:rPr>
          <w:i/>
          <w:sz w:val="28"/>
          <w:szCs w:val="28"/>
          <w:lang w:val="vi-VN"/>
        </w:rPr>
      </w:pPr>
      <w:r>
        <w:rPr>
          <w:i/>
          <w:sz w:val="28"/>
          <w:szCs w:val="28"/>
          <w:lang w:val="vi-VN"/>
        </w:rPr>
        <w:t xml:space="preserve">Căn cứ Luật số 58/2024/QH15 Luật Đầu tư công ngày 29/11/2024; </w:t>
      </w:r>
    </w:p>
    <w:p>
      <w:pPr>
        <w:spacing w:before="60" w:after="60" w:line="264" w:lineRule="auto"/>
        <w:ind w:firstLine="720"/>
        <w:jc w:val="both"/>
        <w:rPr>
          <w:i/>
          <w:sz w:val="28"/>
          <w:szCs w:val="28"/>
          <w:lang w:val="vi-VN"/>
        </w:rPr>
      </w:pPr>
      <w:r>
        <w:rPr>
          <w:i/>
          <w:sz w:val="28"/>
          <w:szCs w:val="28"/>
          <w:lang w:val="vi-VN"/>
        </w:rPr>
        <w:t xml:space="preserve">Căn cứ Luật Xây dựng ngày 18/6/2014; Luật số 62/2020/QH14 về sửa </w:t>
      </w:r>
      <w:r>
        <w:rPr>
          <w:rFonts w:hint="eastAsia"/>
          <w:i/>
          <w:sz w:val="28"/>
          <w:szCs w:val="28"/>
          <w:lang w:val="vi-VN"/>
        </w:rPr>
        <w:t>đ</w:t>
      </w:r>
      <w:r>
        <w:rPr>
          <w:i/>
          <w:sz w:val="28"/>
          <w:szCs w:val="28"/>
          <w:lang w:val="vi-VN"/>
        </w:rPr>
        <w:t xml:space="preserve">ổi, bổ sung một số </w:t>
      </w:r>
      <w:r>
        <w:rPr>
          <w:rFonts w:hint="eastAsia"/>
          <w:i/>
          <w:sz w:val="28"/>
          <w:szCs w:val="28"/>
          <w:lang w:val="vi-VN"/>
        </w:rPr>
        <w:t>đ</w:t>
      </w:r>
      <w:r>
        <w:rPr>
          <w:i/>
          <w:sz w:val="28"/>
          <w:szCs w:val="28"/>
          <w:lang w:val="vi-VN"/>
        </w:rPr>
        <w:t>iều của Luật Xây dựng n</w:t>
      </w:r>
      <w:r>
        <w:rPr>
          <w:rFonts w:hint="eastAsia"/>
          <w:i/>
          <w:sz w:val="28"/>
          <w:szCs w:val="28"/>
          <w:lang w:val="vi-VN"/>
        </w:rPr>
        <w:t>ă</w:t>
      </w:r>
      <w:r>
        <w:rPr>
          <w:i/>
          <w:sz w:val="28"/>
          <w:szCs w:val="28"/>
          <w:lang w:val="vi-VN"/>
        </w:rPr>
        <w:t xml:space="preserve">m 2014 ngày 17/6/2020; </w:t>
      </w:r>
    </w:p>
    <w:p>
      <w:pPr>
        <w:spacing w:before="60" w:after="60" w:line="264" w:lineRule="auto"/>
        <w:ind w:firstLine="720"/>
        <w:jc w:val="both"/>
        <w:rPr>
          <w:i/>
          <w:sz w:val="28"/>
          <w:szCs w:val="28"/>
          <w:lang w:val="vi-VN"/>
        </w:rPr>
      </w:pPr>
      <w:r>
        <w:rPr>
          <w:i/>
          <w:sz w:val="28"/>
          <w:szCs w:val="28"/>
          <w:lang w:val="vi-VN"/>
        </w:rPr>
        <w:t>Căn cứ Nghị định số 85/2025/NĐ - CP ngày 08/4/2025 của Chính phủ về Quy định chi tiết thi hành một số điều của Luật Đầu tư công;</w:t>
      </w:r>
    </w:p>
    <w:p>
      <w:pPr>
        <w:pStyle w:val="BodyText"/>
        <w:spacing w:before="60" w:after="60" w:line="264" w:lineRule="auto"/>
        <w:ind w:firstLine="720"/>
        <w:rPr>
          <w:rFonts w:ascii="Times New Roman" w:eastAsia="Arial" w:hAnsi="Times New Roman"/>
          <w:i/>
          <w:lang w:val="nl-NL"/>
        </w:rPr>
      </w:pPr>
      <w:r>
        <w:rPr>
          <w:rFonts w:ascii="Times New Roman" w:eastAsia="Arial" w:hAnsi="Times New Roman"/>
          <w:i/>
          <w:lang w:val="nl-NL"/>
        </w:rPr>
        <w:t>Căn cứ Nghị quyết số 70/2025/NQ</w:t>
      </w:r>
      <w:r>
        <w:rPr>
          <w:rFonts w:ascii="Times New Roman" w:eastAsia="Arial" w:hAnsi="Times New Roman"/>
          <w:i/>
          <w:lang w:val="vi-VN"/>
        </w:rPr>
        <w:t xml:space="preserve"> </w:t>
      </w:r>
      <w:r>
        <w:rPr>
          <w:rFonts w:ascii="Times New Roman" w:eastAsia="Arial" w:hAnsi="Times New Roman"/>
          <w:i/>
          <w:lang w:val="nl-NL"/>
        </w:rPr>
        <w:t>-</w:t>
      </w:r>
      <w:r>
        <w:rPr>
          <w:rFonts w:ascii="Times New Roman" w:eastAsia="Arial" w:hAnsi="Times New Roman"/>
          <w:i/>
          <w:lang w:val="vi-VN"/>
        </w:rPr>
        <w:t xml:space="preserve"> </w:t>
      </w:r>
      <w:r>
        <w:rPr>
          <w:rFonts w:ascii="Times New Roman" w:eastAsia="Arial" w:hAnsi="Times New Roman"/>
          <w:i/>
          <w:lang w:val="nl-NL"/>
        </w:rPr>
        <w:t>UBTVQH15 ngày 07/02/2025 của Ủy ban thường vụ Quốc hội quy định về nguyên tắc, tiêu chí và định mức phân bổ vốn đầu tư công nguồn NSNN giai đoạn 2026-2030;</w:t>
      </w:r>
    </w:p>
    <w:p>
      <w:pPr>
        <w:keepNext/>
        <w:spacing w:line="264" w:lineRule="auto"/>
        <w:ind w:left="-112" w:right="-16" w:firstLine="821"/>
        <w:jc w:val="both"/>
        <w:outlineLvl w:val="1"/>
        <w:rPr>
          <w:i/>
          <w:sz w:val="28"/>
          <w:szCs w:val="28"/>
          <w:lang w:val="nl-NL"/>
        </w:rPr>
      </w:pPr>
      <w:r>
        <w:rPr>
          <w:i/>
          <w:sz w:val="28"/>
          <w:szCs w:val="28"/>
          <w:lang w:val="nl-NL"/>
        </w:rPr>
        <w:t xml:space="preserve">Căn cứ </w:t>
      </w:r>
      <w:r>
        <w:rPr>
          <w:i/>
          <w:iCs/>
          <w:sz w:val="28"/>
          <w:szCs w:val="28"/>
          <w:lang w:val="nl-NL"/>
        </w:rPr>
        <w:t>Nghị quyết số 18/NQ</w:t>
      </w:r>
      <w:r>
        <w:rPr>
          <w:i/>
          <w:iCs/>
          <w:sz w:val="28"/>
          <w:szCs w:val="28"/>
          <w:lang w:val="vi-VN"/>
        </w:rPr>
        <w:t xml:space="preserve"> </w:t>
      </w:r>
      <w:r>
        <w:rPr>
          <w:i/>
          <w:iCs/>
          <w:sz w:val="28"/>
          <w:szCs w:val="28"/>
          <w:lang w:val="nl-NL"/>
        </w:rPr>
        <w:t>-</w:t>
      </w:r>
      <w:r>
        <w:rPr>
          <w:i/>
          <w:iCs/>
          <w:sz w:val="28"/>
          <w:szCs w:val="28"/>
          <w:lang w:val="vi-VN"/>
        </w:rPr>
        <w:t xml:space="preserve"> </w:t>
      </w:r>
      <w:r>
        <w:rPr>
          <w:i/>
          <w:iCs/>
          <w:sz w:val="28"/>
          <w:szCs w:val="28"/>
          <w:lang w:val="nl-NL"/>
        </w:rPr>
        <w:t xml:space="preserve">HĐND ngày 10/01/2026 của Hội đồng nhân dân xã Kỳ Văn </w:t>
      </w:r>
      <w:r>
        <w:rPr>
          <w:i/>
          <w:sz w:val="28"/>
          <w:szCs w:val="28"/>
          <w:lang w:val="nl-NL"/>
        </w:rPr>
        <w:t>về kế hoạch đầu tư công năm 2026; Dự kiến Danh mục đầu tư công trung hạn giai đoạn năm 2026-2030</w:t>
      </w:r>
    </w:p>
    <w:p>
      <w:pPr>
        <w:spacing w:before="60" w:line="264" w:lineRule="auto"/>
        <w:ind w:firstLine="720"/>
        <w:jc w:val="both"/>
        <w:rPr>
          <w:i/>
          <w:sz w:val="28"/>
          <w:szCs w:val="28"/>
          <w:lang w:val="nl-NL"/>
        </w:rPr>
      </w:pPr>
      <w:r>
        <w:rPr>
          <w:i/>
          <w:sz w:val="28"/>
          <w:szCs w:val="28"/>
          <w:lang w:val="nl-NL"/>
        </w:rPr>
        <w:t>Xét Tờ trình số 130/TTr</w:t>
      </w:r>
      <w:r>
        <w:rPr>
          <w:i/>
          <w:sz w:val="28"/>
          <w:szCs w:val="28"/>
          <w:lang w:val="vi-VN"/>
        </w:rPr>
        <w:t xml:space="preserve"> </w:t>
      </w:r>
      <w:r>
        <w:rPr>
          <w:i/>
          <w:sz w:val="28"/>
          <w:szCs w:val="28"/>
          <w:lang w:val="nl-NL"/>
        </w:rPr>
        <w:t>-</w:t>
      </w:r>
      <w:r>
        <w:rPr>
          <w:i/>
          <w:sz w:val="28"/>
          <w:szCs w:val="28"/>
          <w:lang w:val="vi-VN"/>
        </w:rPr>
        <w:t xml:space="preserve"> </w:t>
      </w:r>
      <w:r>
        <w:rPr>
          <w:i/>
          <w:sz w:val="28"/>
          <w:szCs w:val="28"/>
          <w:lang w:val="nl-NL"/>
        </w:rPr>
        <w:t xml:space="preserve">UBND ngày 25/6/2026 </w:t>
      </w:r>
      <w:r>
        <w:rPr>
          <w:i/>
          <w:iCs/>
          <w:sz w:val="28"/>
          <w:szCs w:val="28"/>
          <w:lang w:val="nl-NL"/>
        </w:rPr>
        <w:t>của Ủy ban nhân dân xã về điều chỉnh, bổ sung kế hoạch đầu tư công năm 2026; Bổ sung Dự kiến Danh mục kế hoạch đầu tư công trung hạn giai đoạn 2026</w:t>
      </w:r>
      <w:r>
        <w:rPr>
          <w:i/>
          <w:iCs/>
          <w:sz w:val="28"/>
          <w:szCs w:val="28"/>
          <w:lang w:val="vi-VN"/>
        </w:rPr>
        <w:t xml:space="preserve"> </w:t>
      </w:r>
      <w:r>
        <w:rPr>
          <w:i/>
          <w:iCs/>
          <w:sz w:val="28"/>
          <w:szCs w:val="28"/>
          <w:lang w:val="nl-NL"/>
        </w:rPr>
        <w:t>-</w:t>
      </w:r>
      <w:r>
        <w:rPr>
          <w:i/>
          <w:iCs/>
          <w:sz w:val="28"/>
          <w:szCs w:val="28"/>
          <w:lang w:val="vi-VN"/>
        </w:rPr>
        <w:t xml:space="preserve"> </w:t>
      </w:r>
      <w:bookmarkStart w:id="0" w:name="_GoBack"/>
      <w:bookmarkEnd w:id="0"/>
      <w:r>
        <w:rPr>
          <w:i/>
          <w:iCs/>
          <w:sz w:val="28"/>
          <w:szCs w:val="28"/>
          <w:lang w:val="nl-NL"/>
        </w:rPr>
        <w:t xml:space="preserve">2030; </w:t>
      </w:r>
      <w:r>
        <w:rPr>
          <w:i/>
          <w:sz w:val="28"/>
          <w:szCs w:val="28"/>
          <w:lang w:val="nl-NL"/>
        </w:rPr>
        <w:t>Báo cáo thẩm tra của Ban Kinh tế - Ngân sách, Hội đồng nhân dân xã và ý kiến thống nhất của đại biểu Hội đồng nhân dân xã tại Kỳ họp.</w:t>
      </w:r>
    </w:p>
    <w:p>
      <w:pPr>
        <w:spacing w:line="264" w:lineRule="auto"/>
        <w:ind w:firstLine="720"/>
        <w:jc w:val="center"/>
        <w:rPr>
          <w:b/>
          <w:sz w:val="12"/>
          <w:szCs w:val="28"/>
          <w:lang w:val="pt-BR"/>
        </w:rPr>
      </w:pPr>
    </w:p>
    <w:p>
      <w:pPr>
        <w:jc w:val="center"/>
        <w:rPr>
          <w:b/>
          <w:sz w:val="28"/>
          <w:szCs w:val="28"/>
          <w:lang w:val="pt-BR"/>
        </w:rPr>
      </w:pPr>
      <w:r>
        <w:rPr>
          <w:b/>
          <w:sz w:val="28"/>
          <w:szCs w:val="28"/>
          <w:lang w:val="pt-BR"/>
        </w:rPr>
        <w:t>QUYẾT NGHỊ:</w:t>
      </w:r>
    </w:p>
    <w:p>
      <w:pPr>
        <w:ind w:firstLine="720"/>
        <w:jc w:val="center"/>
        <w:rPr>
          <w:b/>
          <w:sz w:val="16"/>
          <w:szCs w:val="28"/>
          <w:lang w:val="pt-BR"/>
        </w:rPr>
      </w:pPr>
    </w:p>
    <w:p>
      <w:pPr>
        <w:keepNext/>
        <w:ind w:left="-112" w:right="-16"/>
        <w:jc w:val="both"/>
        <w:outlineLvl w:val="1"/>
        <w:rPr>
          <w:color w:val="FF0000"/>
          <w:sz w:val="28"/>
          <w:szCs w:val="28"/>
          <w:lang w:val="nl-NL"/>
        </w:rPr>
      </w:pPr>
      <w:r>
        <w:rPr>
          <w:b/>
          <w:sz w:val="28"/>
          <w:szCs w:val="28"/>
          <w:lang w:val="vi-VN"/>
        </w:rPr>
        <w:tab/>
      </w:r>
      <w:r>
        <w:rPr>
          <w:b/>
          <w:sz w:val="28"/>
          <w:szCs w:val="28"/>
          <w:lang w:val="vi-VN"/>
        </w:rPr>
        <w:tab/>
      </w:r>
      <w:r>
        <w:rPr>
          <w:b/>
          <w:sz w:val="28"/>
          <w:szCs w:val="28"/>
          <w:lang w:val="pt-BR"/>
        </w:rPr>
        <w:t>Điều 1</w:t>
      </w:r>
      <w:r>
        <w:rPr>
          <w:sz w:val="28"/>
          <w:szCs w:val="28"/>
          <w:lang w:val="pt-BR"/>
        </w:rPr>
        <w:t xml:space="preserve">. Thông qua điều chỉnh, bổ sung kế hoạch đầu tư công năm 2026; Bổ sung Danh mục dự kiến </w:t>
      </w:r>
      <w:r>
        <w:rPr>
          <w:sz w:val="28"/>
          <w:szCs w:val="28"/>
          <w:lang w:val="nl-NL"/>
        </w:rPr>
        <w:t>kế hoạch đầu tư công trung hạn giai đoạn 2026</w:t>
      </w:r>
      <w:r>
        <w:rPr>
          <w:sz w:val="28"/>
          <w:szCs w:val="28"/>
          <w:lang w:val="vi-VN"/>
        </w:rPr>
        <w:t xml:space="preserve"> </w:t>
      </w:r>
      <w:r>
        <w:rPr>
          <w:sz w:val="28"/>
          <w:szCs w:val="28"/>
          <w:lang w:val="nl-NL"/>
        </w:rPr>
        <w:t>-</w:t>
      </w:r>
      <w:r>
        <w:rPr>
          <w:sz w:val="28"/>
          <w:szCs w:val="28"/>
          <w:lang w:val="vi-VN"/>
        </w:rPr>
        <w:t xml:space="preserve"> </w:t>
      </w:r>
      <w:r>
        <w:rPr>
          <w:sz w:val="28"/>
          <w:szCs w:val="28"/>
          <w:lang w:val="nl-NL"/>
        </w:rPr>
        <w:t>2030 xã Kỳ Văn.</w:t>
      </w:r>
    </w:p>
    <w:p>
      <w:pPr>
        <w:spacing w:before="40"/>
        <w:jc w:val="center"/>
        <w:rPr>
          <w:i/>
          <w:sz w:val="28"/>
          <w:szCs w:val="28"/>
          <w:lang w:val="pt-BR"/>
        </w:rPr>
      </w:pPr>
      <w:r>
        <w:rPr>
          <w:i/>
          <w:sz w:val="28"/>
          <w:szCs w:val="28"/>
          <w:lang w:val="pt-BR"/>
        </w:rPr>
        <w:t>(Có các phụ lục đính kèm)</w:t>
      </w:r>
    </w:p>
    <w:p>
      <w:pPr>
        <w:spacing w:before="40" w:line="264" w:lineRule="auto"/>
        <w:ind w:firstLine="720"/>
        <w:jc w:val="both"/>
        <w:rPr>
          <w:rFonts w:eastAsia="Calibri"/>
          <w:b/>
          <w:sz w:val="28"/>
          <w:szCs w:val="28"/>
          <w:lang w:val="pt-BR"/>
        </w:rPr>
      </w:pPr>
      <w:r>
        <w:rPr>
          <w:b/>
          <w:sz w:val="28"/>
          <w:szCs w:val="28"/>
          <w:lang w:val="pt-BR"/>
        </w:rPr>
        <w:lastRenderedPageBreak/>
        <w:t xml:space="preserve">Điều 2. </w:t>
      </w:r>
      <w:r>
        <w:rPr>
          <w:sz w:val="28"/>
          <w:szCs w:val="28"/>
          <w:lang w:val="pt-BR"/>
        </w:rPr>
        <w:t>Tổ chức thực hiện</w:t>
      </w:r>
    </w:p>
    <w:p>
      <w:pPr>
        <w:spacing w:before="40" w:line="264" w:lineRule="auto"/>
        <w:ind w:firstLine="720"/>
        <w:jc w:val="both"/>
        <w:rPr>
          <w:sz w:val="28"/>
          <w:szCs w:val="28"/>
          <w:lang w:val="pt-BR"/>
        </w:rPr>
      </w:pPr>
      <w:r>
        <w:rPr>
          <w:sz w:val="28"/>
          <w:szCs w:val="28"/>
          <w:lang w:val="pt-BR"/>
        </w:rPr>
        <w:t>1. Danh mục đầu tư công trung hạn giai đoạn 2026</w:t>
      </w:r>
      <w:r>
        <w:rPr>
          <w:sz w:val="28"/>
          <w:szCs w:val="28"/>
          <w:lang w:val="vi-VN"/>
        </w:rPr>
        <w:t xml:space="preserve"> </w:t>
      </w:r>
      <w:r>
        <w:rPr>
          <w:sz w:val="28"/>
          <w:szCs w:val="28"/>
          <w:lang w:val="pt-BR"/>
        </w:rPr>
        <w:t>-</w:t>
      </w:r>
      <w:r>
        <w:rPr>
          <w:sz w:val="28"/>
          <w:szCs w:val="28"/>
          <w:lang w:val="vi-VN"/>
        </w:rPr>
        <w:t xml:space="preserve"> </w:t>
      </w:r>
      <w:r>
        <w:rPr>
          <w:sz w:val="28"/>
          <w:szCs w:val="28"/>
          <w:lang w:val="pt-BR"/>
        </w:rPr>
        <w:t>2030 được sắp xếp theo thứ tự ưu tiên theo từng ngành, lĩnh vực. Là cơ sở để xây dựng, đề xuất hoặc triển khai thực hiện kế hoạch đầu tư hàng năm đối với các nguồn vốn đầu tư công trên địa bàn.</w:t>
      </w:r>
    </w:p>
    <w:p>
      <w:pPr>
        <w:spacing w:before="40" w:line="264" w:lineRule="auto"/>
        <w:ind w:firstLine="720"/>
        <w:jc w:val="both"/>
        <w:rPr>
          <w:sz w:val="28"/>
          <w:szCs w:val="28"/>
          <w:lang w:val="pt-BR"/>
        </w:rPr>
      </w:pPr>
      <w:r>
        <w:rPr>
          <w:sz w:val="28"/>
          <w:szCs w:val="28"/>
          <w:lang w:val="pt-BR"/>
        </w:rPr>
        <w:t>Việc lựa chọn, đề xuất danh mục đầu tư hàng năm phải căn cứ nguyên tắc, tiêu chí chung đã được Hội đồng nhân dân xã phê duyệt và đảm bảo tính khả thi, hiệu quả, tránh để xảy ra nợ đọng xây dựng cơ bản.</w:t>
      </w:r>
    </w:p>
    <w:p>
      <w:pPr>
        <w:spacing w:line="264" w:lineRule="auto"/>
        <w:ind w:firstLine="720"/>
        <w:jc w:val="both"/>
        <w:rPr>
          <w:sz w:val="28"/>
          <w:szCs w:val="28"/>
          <w:lang w:val="pt-BR"/>
        </w:rPr>
      </w:pPr>
      <w:r>
        <w:rPr>
          <w:bCs/>
          <w:sz w:val="28"/>
          <w:szCs w:val="28"/>
          <w:lang w:val="pt-BR"/>
        </w:rPr>
        <w:t>Giao Ủy ban nhân dân xã cụ thể hóa và tổ chức chỉ đạo triển khai thực hiện các nội dung Nghị quyết này, định kỳ báo cáo Hội đồng nhân dân xã</w:t>
      </w:r>
      <w:r>
        <w:rPr>
          <w:bCs/>
          <w:sz w:val="28"/>
          <w:szCs w:val="28"/>
          <w:lang w:val="vi-VN"/>
        </w:rPr>
        <w:t>, t</w:t>
      </w:r>
      <w:r>
        <w:rPr>
          <w:bCs/>
          <w:sz w:val="28"/>
          <w:szCs w:val="28"/>
          <w:lang w:val="pt-BR"/>
        </w:rPr>
        <w:t>rong quá trình thực hiện nếu có những vấn đề phát sinh, Ủy ban nhân dân xã phối hợp với Thường trực Hội đồng nhân dân xã xem xét, quyết định và báo cáo Hội đồng nhân dân xã tại kỳ họp gần nhất.</w:t>
      </w:r>
    </w:p>
    <w:p>
      <w:pPr>
        <w:spacing w:line="264" w:lineRule="auto"/>
        <w:ind w:firstLine="720"/>
        <w:jc w:val="both"/>
        <w:rPr>
          <w:sz w:val="28"/>
          <w:szCs w:val="28"/>
          <w:lang w:val="pt-BR"/>
        </w:rPr>
      </w:pPr>
      <w:r>
        <w:rPr>
          <w:sz w:val="28"/>
          <w:szCs w:val="28"/>
          <w:lang w:val="pt-BR"/>
        </w:rPr>
        <w:t xml:space="preserve">2. </w:t>
      </w:r>
      <w:r>
        <w:rPr>
          <w:bCs/>
          <w:sz w:val="28"/>
          <w:szCs w:val="28"/>
          <w:lang w:val="pt-BR"/>
        </w:rPr>
        <w:t>Thường trực Hội đồng nhân dân xã, các Ban Hội đồng nhân dân và các đại biểu Hội đồng nhân dân xã trong phạm vi nhiệm vụ, quyền hạn của mình giám sát, kiểm tra việc thực hiện Nghị quyết</w:t>
      </w:r>
      <w:r>
        <w:rPr>
          <w:sz w:val="28"/>
          <w:szCs w:val="28"/>
          <w:lang w:val="pt-BR"/>
        </w:rPr>
        <w:t>.</w:t>
      </w:r>
    </w:p>
    <w:p>
      <w:pPr>
        <w:spacing w:before="60" w:after="60" w:line="264" w:lineRule="auto"/>
        <w:ind w:firstLine="720"/>
        <w:jc w:val="both"/>
        <w:rPr>
          <w:sz w:val="28"/>
          <w:szCs w:val="28"/>
          <w:lang w:val="vi-VN"/>
        </w:rPr>
      </w:pPr>
      <w:r>
        <w:rPr>
          <w:sz w:val="28"/>
          <w:szCs w:val="28"/>
          <w:lang w:val="pt-BR"/>
        </w:rPr>
        <w:t>Nghị quyết này đã được Hội đồng nhân dân xã Kỳ Văn khóa XXI, Kỳ họp thứ 2 thông qua ngày 30 tháng 6 năm 2026.</w:t>
      </w:r>
      <w:r>
        <w:rPr>
          <w:sz w:val="28"/>
          <w:szCs w:val="28"/>
          <w:lang w:val="vi-VN"/>
        </w:rPr>
        <w:t>/.</w:t>
      </w:r>
    </w:p>
    <w:p>
      <w:pPr>
        <w:jc w:val="both"/>
        <w:rPr>
          <w:sz w:val="10"/>
          <w:lang w:val="pt-BR"/>
        </w:rPr>
      </w:pPr>
    </w:p>
    <w:tbl>
      <w:tblPr>
        <w:tblW w:w="9918" w:type="dxa"/>
        <w:tblInd w:w="-142" w:type="dxa"/>
        <w:tblLook w:val="04A0" w:firstRow="1" w:lastRow="0" w:firstColumn="1" w:lastColumn="0" w:noHBand="0" w:noVBand="1"/>
      </w:tblPr>
      <w:tblGrid>
        <w:gridCol w:w="4537"/>
        <w:gridCol w:w="5381"/>
      </w:tblGrid>
      <w:tr>
        <w:tc>
          <w:tcPr>
            <w:tcW w:w="4537" w:type="dxa"/>
            <w:hideMark/>
          </w:tcPr>
          <w:p>
            <w:pPr>
              <w:jc w:val="both"/>
              <w:rPr>
                <w:b/>
                <w:i/>
                <w:szCs w:val="28"/>
                <w:lang w:val="pt-BR"/>
              </w:rPr>
            </w:pPr>
            <w:r>
              <w:rPr>
                <w:b/>
                <w:i/>
                <w:szCs w:val="28"/>
                <w:lang w:val="pt-BR"/>
              </w:rPr>
              <w:t>Nơi nhận:</w:t>
            </w:r>
          </w:p>
          <w:p>
            <w:pPr>
              <w:rPr>
                <w:sz w:val="22"/>
                <w:szCs w:val="28"/>
                <w:lang w:val="pt-BR"/>
              </w:rPr>
            </w:pPr>
            <w:r>
              <w:rPr>
                <w:sz w:val="28"/>
                <w:szCs w:val="28"/>
                <w:lang w:val="pt-BR"/>
              </w:rPr>
              <w:t xml:space="preserve">- </w:t>
            </w:r>
            <w:r>
              <w:rPr>
                <w:sz w:val="22"/>
                <w:szCs w:val="28"/>
                <w:lang w:val="pt-BR"/>
              </w:rPr>
              <w:t>Thường trực Đảng ủy - HĐND xã;</w:t>
            </w:r>
          </w:p>
          <w:p>
            <w:pPr>
              <w:rPr>
                <w:sz w:val="22"/>
                <w:szCs w:val="28"/>
                <w:lang w:val="pt-BR"/>
              </w:rPr>
            </w:pPr>
            <w:r>
              <w:rPr>
                <w:sz w:val="22"/>
                <w:szCs w:val="28"/>
                <w:lang w:val="pt-BR"/>
              </w:rPr>
              <w:t>- Chủ tịch, các PCT UBND xã;</w:t>
            </w:r>
          </w:p>
          <w:p>
            <w:pPr>
              <w:rPr>
                <w:sz w:val="22"/>
                <w:szCs w:val="28"/>
                <w:lang w:val="pt-BR"/>
              </w:rPr>
            </w:pPr>
            <w:r>
              <w:rPr>
                <w:sz w:val="22"/>
                <w:szCs w:val="28"/>
                <w:lang w:val="pt-BR"/>
              </w:rPr>
              <w:t>- Các Ban HĐND xã;</w:t>
            </w:r>
          </w:p>
          <w:p>
            <w:pPr>
              <w:rPr>
                <w:sz w:val="22"/>
                <w:szCs w:val="28"/>
                <w:lang w:val="pt-BR"/>
              </w:rPr>
            </w:pPr>
            <w:r>
              <w:rPr>
                <w:sz w:val="22"/>
                <w:szCs w:val="28"/>
                <w:lang w:val="pt-BR"/>
              </w:rPr>
              <w:t>- Đại biểu HĐND xã;</w:t>
            </w:r>
          </w:p>
          <w:p>
            <w:pPr>
              <w:rPr>
                <w:sz w:val="22"/>
                <w:szCs w:val="28"/>
              </w:rPr>
            </w:pPr>
            <w:r>
              <w:rPr>
                <w:sz w:val="22"/>
                <w:szCs w:val="28"/>
              </w:rPr>
              <w:t>- Lưu: VT.</w:t>
            </w:r>
          </w:p>
          <w:p>
            <w:pPr>
              <w:jc w:val="both"/>
              <w:rPr>
                <w:noProof/>
                <w:sz w:val="28"/>
                <w:szCs w:val="28"/>
                <w:lang w:eastAsia="en-GB"/>
              </w:rPr>
            </w:pPr>
          </w:p>
        </w:tc>
        <w:tc>
          <w:tcPr>
            <w:tcW w:w="5381" w:type="dxa"/>
          </w:tcPr>
          <w:p>
            <w:pPr>
              <w:jc w:val="center"/>
              <w:rPr>
                <w:b/>
                <w:sz w:val="28"/>
                <w:szCs w:val="28"/>
              </w:rPr>
            </w:pPr>
            <w:r>
              <w:rPr>
                <w:b/>
                <w:sz w:val="28"/>
                <w:szCs w:val="28"/>
              </w:rPr>
              <w:t>CHỦ TỊCH</w:t>
            </w:r>
          </w:p>
          <w:p>
            <w:pPr>
              <w:jc w:val="center"/>
              <w:rPr>
                <w:b/>
                <w:sz w:val="28"/>
                <w:szCs w:val="28"/>
              </w:rPr>
            </w:pPr>
          </w:p>
          <w:p>
            <w:pPr>
              <w:jc w:val="center"/>
              <w:rPr>
                <w:b/>
                <w:sz w:val="28"/>
                <w:szCs w:val="28"/>
              </w:rPr>
            </w:pPr>
          </w:p>
          <w:p>
            <w:pPr>
              <w:jc w:val="center"/>
              <w:rPr>
                <w:b/>
                <w:sz w:val="28"/>
                <w:szCs w:val="28"/>
              </w:rPr>
            </w:pPr>
          </w:p>
          <w:p>
            <w:pPr>
              <w:jc w:val="center"/>
              <w:rPr>
                <w:b/>
                <w:sz w:val="28"/>
                <w:szCs w:val="28"/>
                <w:lang w:val="vi-VN"/>
              </w:rPr>
            </w:pPr>
          </w:p>
          <w:p>
            <w:pPr>
              <w:rPr>
                <w:b/>
                <w:sz w:val="28"/>
                <w:szCs w:val="28"/>
              </w:rPr>
            </w:pPr>
          </w:p>
          <w:p>
            <w:pPr>
              <w:jc w:val="center"/>
              <w:rPr>
                <w:b/>
                <w:sz w:val="28"/>
                <w:szCs w:val="28"/>
              </w:rPr>
            </w:pPr>
          </w:p>
          <w:p>
            <w:pPr>
              <w:jc w:val="center"/>
              <w:rPr>
                <w:b/>
                <w:sz w:val="28"/>
                <w:szCs w:val="28"/>
              </w:rPr>
            </w:pPr>
          </w:p>
          <w:p>
            <w:pPr>
              <w:jc w:val="center"/>
              <w:rPr>
                <w:b/>
                <w:sz w:val="28"/>
                <w:szCs w:val="28"/>
              </w:rPr>
            </w:pPr>
            <w:r>
              <w:rPr>
                <w:b/>
                <w:sz w:val="28"/>
                <w:szCs w:val="28"/>
              </w:rPr>
              <w:t>Nguyễn Ngọc Hoạch</w:t>
            </w:r>
          </w:p>
        </w:tc>
      </w:tr>
    </w:tbl>
    <w:p>
      <w:pPr>
        <w:jc w:val="both"/>
        <w:rPr>
          <w:sz w:val="28"/>
          <w:szCs w:val="28"/>
          <w:lang w:val="vi-VN"/>
        </w:rPr>
      </w:pPr>
    </w:p>
    <w:p>
      <w:pPr>
        <w:jc w:val="both"/>
        <w:rPr>
          <w:lang w:val="vi-VN"/>
        </w:rPr>
      </w:pPr>
    </w:p>
    <w:p/>
    <w:sectPr>
      <w:headerReference w:type="default" r:id="rId7"/>
      <w:pgSz w:w="12240" w:h="15840"/>
      <w:pgMar w:top="1134" w:right="851"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A3"/>
    <w:family w:val="roman"/>
    <w:pitch w:val="variable"/>
    <w:sig w:usb0="E0002AFF" w:usb1="C0007843" w:usb2="00000009" w:usb3="00000000" w:csb0="000001FF" w:csb1="00000000"/>
  </w:font>
  <w:font w:name="Calibri">
    <w:panose1 w:val="020F0502020204030204"/>
    <w:charset w:val="A3"/>
    <w:family w:val="swiss"/>
    <w:pitch w:val="variable"/>
    <w:sig w:usb0="E0002AFF" w:usb1="4000ACFF" w:usb2="00000001" w:usb3="00000000" w:csb0="000001FF" w:csb1="00000000"/>
  </w:font>
  <w:font w:name=".VnTime">
    <w:panose1 w:val="020B7200000000000000"/>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A3"/>
    <w:family w:val="swiss"/>
    <w:pitch w:val="variable"/>
    <w:sig w:usb0="E0002AFF" w:usb1="C0007843" w:usb2="00000009" w:usb3="00000000" w:csb0="000001FF" w:csb1="00000000"/>
  </w:font>
  <w:font w:name="Calibri Light">
    <w:panose1 w:val="020F0302020204030204"/>
    <w:charset w:val="A3"/>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19793297"/>
      <w:docPartObj>
        <w:docPartGallery w:val="Page Numbers (Top of Page)"/>
        <w:docPartUnique/>
      </w:docPartObj>
    </w:sdtPr>
    <w:sdtEndPr>
      <w:rPr>
        <w:noProof/>
        <w:sz w:val="28"/>
        <w:szCs w:val="28"/>
      </w:rPr>
    </w:sdtEndPr>
    <w:sdtContent>
      <w:p>
        <w:pPr>
          <w:pStyle w:val="Header"/>
          <w:jc w:val="center"/>
          <w:rPr>
            <w:sz w:val="28"/>
            <w:szCs w:val="28"/>
          </w:rPr>
        </w:pPr>
        <w:r>
          <w:rPr>
            <w:sz w:val="28"/>
            <w:szCs w:val="28"/>
          </w:rPr>
          <w:fldChar w:fldCharType="begin"/>
        </w:r>
        <w:r>
          <w:rPr>
            <w:sz w:val="28"/>
            <w:szCs w:val="28"/>
          </w:rPr>
          <w:instrText xml:space="preserve"> PAGE   \* MERGEFORMAT </w:instrText>
        </w:r>
        <w:r>
          <w:rPr>
            <w:sz w:val="28"/>
            <w:szCs w:val="28"/>
          </w:rPr>
          <w:fldChar w:fldCharType="separate"/>
        </w:r>
        <w:r>
          <w:rPr>
            <w:noProof/>
            <w:sz w:val="28"/>
            <w:szCs w:val="28"/>
          </w:rPr>
          <w:t>2</w:t>
        </w:r>
        <w:r>
          <w:rPr>
            <w:noProof/>
            <w:sz w:val="28"/>
            <w:szCs w:val="28"/>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0303AB98-7DCB-4EA7-9587-50CD4F6B75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0" w:line="240" w:lineRule="auto"/>
    </w:pPr>
    <w:rPr>
      <w:rFonts w:eastAsia="Times New Roman" w:cs="Times New Roman"/>
      <w:sz w:val="24"/>
      <w:szCs w:val="24"/>
    </w:rPr>
  </w:style>
  <w:style w:type="paragraph" w:styleId="Heading3">
    <w:name w:val="heading 3"/>
    <w:basedOn w:val="Normal"/>
    <w:next w:val="Normal"/>
    <w:link w:val="Heading3Char"/>
    <w:qFormat/>
    <w:pPr>
      <w:keepNext/>
      <w:jc w:val="both"/>
      <w:outlineLvl w:val="2"/>
    </w:pPr>
    <w:rPr>
      <w:rFonts w:ascii=".VnTime" w:hAnsi=".VnTime"/>
      <w:b/>
      <w:b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Pr>
      <w:rFonts w:ascii=".VnTime" w:eastAsia="Times New Roman" w:hAnsi=".VnTime" w:cs="Times New Roman"/>
      <w:b/>
      <w:bCs/>
      <w:szCs w:val="24"/>
    </w:rPr>
  </w:style>
  <w:style w:type="character" w:customStyle="1" w:styleId="fontstyle01">
    <w:name w:val="fontstyle01"/>
    <w:rPr>
      <w:rFonts w:ascii="Times New Roman" w:hAnsi="Times New Roman" w:cs="Times New Roman" w:hint="default"/>
      <w:b w:val="0"/>
      <w:bCs w:val="0"/>
      <w:i w:val="0"/>
      <w:iCs w:val="0"/>
      <w:color w:val="000000"/>
      <w:sz w:val="28"/>
      <w:szCs w:val="28"/>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eastAsia="Times New Roman" w:hAnsi="Segoe UI" w:cs="Segoe UI"/>
      <w:sz w:val="18"/>
      <w:szCs w:val="18"/>
    </w:rPr>
  </w:style>
  <w:style w:type="character" w:customStyle="1" w:styleId="BodyTextChar">
    <w:name w:val="Body Text Char"/>
    <w:link w:val="BodyText"/>
    <w:rPr>
      <w:rFonts w:ascii=".VnTime" w:hAnsi=".VnTime" w:cs=".VnTime"/>
      <w:szCs w:val="28"/>
      <w:lang w:val="en-GB"/>
    </w:rPr>
  </w:style>
  <w:style w:type="paragraph" w:styleId="BodyText">
    <w:name w:val="Body Text"/>
    <w:basedOn w:val="Normal"/>
    <w:link w:val="BodyTextChar"/>
    <w:pPr>
      <w:autoSpaceDE w:val="0"/>
      <w:autoSpaceDN w:val="0"/>
      <w:jc w:val="both"/>
    </w:pPr>
    <w:rPr>
      <w:rFonts w:ascii=".VnTime" w:eastAsiaTheme="minorHAnsi" w:hAnsi=".VnTime" w:cs=".VnTime"/>
      <w:sz w:val="28"/>
      <w:szCs w:val="28"/>
      <w:lang w:val="en-GB"/>
    </w:rPr>
  </w:style>
  <w:style w:type="character" w:customStyle="1" w:styleId="BodyTextChar1">
    <w:name w:val="Body Text Char1"/>
    <w:basedOn w:val="DefaultParagraphFont"/>
    <w:uiPriority w:val="99"/>
    <w:semiHidden/>
    <w:rPr>
      <w:rFonts w:eastAsia="Times New Roman" w:cs="Times New Roman"/>
      <w:sz w:val="24"/>
      <w:szCs w:val="24"/>
    </w:rPr>
  </w:style>
  <w:style w:type="paragraph" w:styleId="Caption">
    <w:name w:val="caption"/>
    <w:basedOn w:val="Normal"/>
    <w:next w:val="Normal"/>
    <w:qFormat/>
    <w:pPr>
      <w:ind w:left="5040"/>
    </w:pPr>
    <w:rPr>
      <w:b/>
      <w:bCs/>
      <w:i/>
      <w:iCs/>
      <w:kern w:val="28"/>
      <w:sz w:val="26"/>
      <w:szCs w:val="26"/>
    </w:rPr>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basedOn w:val="DefaultParagraphFont"/>
    <w:link w:val="Header"/>
    <w:uiPriority w:val="99"/>
    <w:rPr>
      <w:rFonts w:eastAsia="Times New Roman" w:cs="Times New Roman"/>
      <w:sz w:val="24"/>
      <w:szCs w:val="24"/>
    </w:rPr>
  </w:style>
  <w:style w:type="paragraph" w:styleId="Footer">
    <w:name w:val="footer"/>
    <w:basedOn w:val="Normal"/>
    <w:link w:val="FooterChar"/>
    <w:uiPriority w:val="99"/>
    <w:unhideWhenUsed/>
    <w:pPr>
      <w:tabs>
        <w:tab w:val="center" w:pos="4680"/>
        <w:tab w:val="right" w:pos="9360"/>
      </w:tabs>
    </w:pPr>
  </w:style>
  <w:style w:type="character" w:customStyle="1" w:styleId="FooterChar">
    <w:name w:val="Footer Char"/>
    <w:basedOn w:val="DefaultParagraphFont"/>
    <w:link w:val="Footer"/>
    <w:uiPriority w:val="99"/>
    <w:rPr>
      <w:rFonts w:eastAsia="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14C20F-94C8-4920-AF7C-951B52C858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482</Words>
  <Characters>2750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TRAN HANG</dc:creator>
  <cp:keywords/>
  <dc:description/>
  <cp:lastModifiedBy>Administrator</cp:lastModifiedBy>
  <cp:revision>2</cp:revision>
  <cp:lastPrinted>2026-06-25T10:15:00Z</cp:lastPrinted>
  <dcterms:created xsi:type="dcterms:W3CDTF">2026-07-04T01:52:00Z</dcterms:created>
  <dcterms:modified xsi:type="dcterms:W3CDTF">2026-07-04T01:52:00Z</dcterms:modified>
</cp:coreProperties>
</file>