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3647"/>
        <w:gridCol w:w="5708"/>
      </w:tblGrid>
      <w:tr>
        <w:trPr>
          <w:trHeight w:val="839"/>
        </w:trPr>
        <w:tc>
          <w:tcPr>
            <w:tcW w:w="1949" w:type="pct"/>
          </w:tcPr>
          <w:p>
            <w:pPr>
              <w:ind w:firstLine="2"/>
              <w:jc w:val="center"/>
              <w:rPr>
                <w:b/>
                <w:sz w:val="26"/>
                <w:szCs w:val="26"/>
              </w:rPr>
            </w:pPr>
            <w:r>
              <w:rPr>
                <w:b/>
                <w:sz w:val="26"/>
                <w:szCs w:val="26"/>
              </w:rPr>
              <w:t>HỘI ĐỒNG NHÂN DÂN</w:t>
            </w:r>
          </w:p>
          <w:p>
            <w:pPr>
              <w:ind w:firstLine="2"/>
              <w:jc w:val="center"/>
              <w:rPr>
                <w:b/>
              </w:rPr>
            </w:pPr>
            <w:r>
              <w:rPr>
                <w:b/>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718185</wp:posOffset>
                      </wp:positionH>
                      <wp:positionV relativeFrom="paragraph">
                        <wp:posOffset>212725</wp:posOffset>
                      </wp:positionV>
                      <wp:extent cx="723265" cy="0"/>
                      <wp:effectExtent l="6985"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6.75pt" to="11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ynHQIAADU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"/>
                  </w:pict>
                </mc:Fallback>
              </mc:AlternateContent>
            </w:r>
            <w:r>
              <w:rPr>
                <w:b/>
                <w:sz w:val="26"/>
                <w:szCs w:val="26"/>
                <w:lang w:val="en-US"/>
              </w:rPr>
              <w:t>XÃ</w:t>
            </w:r>
            <w:r>
              <w:rPr>
                <w:b/>
                <w:sz w:val="26"/>
                <w:szCs w:val="26"/>
              </w:rPr>
              <w:t xml:space="preserve"> KỲ VĂN</w:t>
            </w:r>
          </w:p>
        </w:tc>
        <w:tc>
          <w:tcPr>
            <w:tcW w:w="3051" w:type="pct"/>
          </w:tcPr>
          <w:p>
            <w:pPr>
              <w:pStyle w:val="Heading1"/>
              <w:rPr>
                <w:rFonts w:ascii="Times New Roman" w:hAnsi="Times New Roman"/>
                <w:w w:val="90"/>
                <w:sz w:val="26"/>
                <w:szCs w:val="26"/>
              </w:rPr>
            </w:pPr>
            <w:r>
              <w:rPr>
                <w:rFonts w:ascii="Times New Roman" w:hAnsi="Times New Roman"/>
                <w:w w:val="90"/>
                <w:sz w:val="26"/>
                <w:szCs w:val="26"/>
              </w:rPr>
              <w:t>CỘNG HÒA XÃ HỘI CHỦ NGHĨA VIỆT NAM</w:t>
            </w:r>
          </w:p>
          <w:p>
            <w:pPr>
              <w:pStyle w:val="Heading1"/>
            </w:pPr>
            <w:r>
              <w:rPr>
                <w:rFonts w:ascii="Times New Roman" w:hAnsi="Times New Roman"/>
                <w:lang w:val="en-US"/>
              </w:rPr>
              <mc:AlternateContent>
                <mc:Choice Requires="wps">
                  <w:drawing>
                    <wp:anchor distT="0" distB="0" distL="114300" distR="114300" simplePos="0" relativeHeight="251659264" behindDoc="0" locked="0" layoutInCell="1" allowOverlap="1">
                      <wp:simplePos x="0" y="0"/>
                      <wp:positionH relativeFrom="column">
                        <wp:posOffset>684405</wp:posOffset>
                      </wp:positionH>
                      <wp:positionV relativeFrom="paragraph">
                        <wp:posOffset>237490</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8.7pt" to="21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"/>
                  </w:pict>
                </mc:Fallback>
              </mc:AlternateContent>
            </w:r>
            <w:r>
              <w:rPr>
                <w:rFonts w:ascii="Times New Roman" w:hAnsi="Times New Roman"/>
              </w:rPr>
              <w:t>Độc lập - Tự do - Hạnh phúc</w:t>
            </w:r>
          </w:p>
        </w:tc>
      </w:tr>
      <w:tr>
        <w:trPr>
          <w:trHeight w:val="412"/>
        </w:trPr>
        <w:tc>
          <w:tcPr>
            <w:tcW w:w="1949" w:type="pct"/>
          </w:tcPr>
          <w:p>
            <w:pPr>
              <w:ind w:firstLine="2"/>
              <w:jc w:val="center"/>
              <w:rPr>
                <w:b/>
              </w:rPr>
            </w:pPr>
            <w:r>
              <w:t>Số:</w:t>
            </w:r>
            <w:r>
              <w:rPr>
                <w:lang w:val="en-US"/>
              </w:rPr>
              <w:t xml:space="preserve">       </w:t>
            </w:r>
            <w:r>
              <w:t>/TB - HĐND</w:t>
            </w:r>
          </w:p>
        </w:tc>
        <w:tc>
          <w:tcPr>
            <w:tcW w:w="3051" w:type="pct"/>
          </w:tcPr>
          <w:p>
            <w:pPr>
              <w:jc w:val="center"/>
              <w:rPr>
                <w:b/>
              </w:rPr>
            </w:pPr>
            <w:r>
              <w:rPr>
                <w:i/>
              </w:rPr>
              <w:t>Kỳ Văn, ngày 16 tháng 7 năm 2026</w:t>
            </w:r>
          </w:p>
        </w:tc>
      </w:tr>
    </w:tbl>
    <w:p>
      <w:pPr>
        <w:rPr>
          <w:b/>
        </w:rPr>
      </w:pPr>
      <w:bookmarkStart w:id="0" w:name="_GoBack"/>
      <w:bookmarkEnd w:id="0"/>
    </w:p>
    <w:p>
      <w:pPr>
        <w:jc w:val="center"/>
        <w:rPr>
          <w:b/>
        </w:rPr>
      </w:pPr>
      <w:r>
        <w:rPr>
          <w:b/>
        </w:rPr>
        <w:t>THÔNG BÁO</w:t>
      </w:r>
    </w:p>
    <w:p>
      <w:pPr>
        <w:jc w:val="center"/>
        <w:rPr>
          <w:b/>
        </w:rPr>
      </w:pPr>
      <w:r>
        <w:rPr>
          <w:b/>
        </w:rPr>
        <w:t>Kết quả Kỳ họp thứ 3 (Kỳ họp thường lệ giữa năm 2026)</w:t>
      </w:r>
    </w:p>
    <w:p>
      <w:pPr>
        <w:jc w:val="center"/>
        <w:rPr>
          <w:b/>
        </w:rPr>
      </w:pPr>
      <w:r>
        <w:rPr>
          <w:b/>
        </w:rPr>
        <w:t>Hội đồng nhân dân xã khóa XXI, nhiệm kỳ 2026-2031</w:t>
      </w:r>
    </w:p>
    <w:p>
      <w:pPr>
        <w:jc w:val="center"/>
        <w:rPr>
          <w:b/>
        </w:rPr>
      </w:pPr>
      <w:r>
        <w:rPr>
          <w:b/>
          <w:lang w:val="en-US" w:eastAsia="en-US"/>
        </w:rPr>
        <mc:AlternateContent>
          <mc:Choice Requires="wps">
            <w:drawing>
              <wp:anchor distT="0" distB="0" distL="114300" distR="114300" simplePos="0" relativeHeight="251661312" behindDoc="0" locked="0" layoutInCell="1" allowOverlap="1">
                <wp:simplePos x="0" y="0"/>
                <wp:positionH relativeFrom="column">
                  <wp:posOffset>2091690</wp:posOffset>
                </wp:positionH>
                <wp:positionV relativeFrom="paragraph">
                  <wp:posOffset>31750</wp:posOffset>
                </wp:positionV>
                <wp:extent cx="16891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2.5pt" to="29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Mc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eaL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"/>
            </w:pict>
          </mc:Fallback>
        </mc:AlternateContent>
      </w:r>
    </w:p>
    <w:p>
      <w:pPr>
        <w:ind w:firstLine="720"/>
        <w:jc w:val="both"/>
      </w:pPr>
      <w:r>
        <w:t xml:space="preserve">Thực hiện Luật Tổ chức chính quyền địa phương số 72/2025/QH15, Kế hoạch số 04/KH-HĐND ngày 05 tháng 6 năm 2026 của Thường trực Hội đồng nhân dân xã về việc chuẩn bị, tổ chức Kỳ họp thường lệ giữa năm 2026; ngày 15 tháng 7 năm 2026, Hội đồng nhân dân xã đã tổ chức Kỳ họp thứ 3 (Kỳ họp thường lệ giữa năm 2026) để xem xét và quyết định các nội dung quan trọng thuộc thẩm quyền. </w:t>
      </w:r>
    </w:p>
    <w:p>
      <w:pPr>
        <w:widowControl w:val="0"/>
        <w:ind w:firstLine="720"/>
        <w:jc w:val="both"/>
      </w:pPr>
      <w:r>
        <w:t>Sau 01 buổi làm việc khẩn trương, nghiêm túc, dân chủ, trách nhiệm, Kỳ họp thứ 3 đã hoàn thành nội dung, chương trình đề ra. Thường trực Hội đồng nhân dân xã thông báo kết quả Kỳ họp như sau:</w:t>
      </w:r>
    </w:p>
    <w:p>
      <w:pPr>
        <w:widowControl w:val="0"/>
        <w:ind w:firstLine="720"/>
        <w:jc w:val="both"/>
        <w:rPr>
          <w:b/>
        </w:rPr>
      </w:pPr>
      <w:r>
        <w:rPr>
          <w:b/>
        </w:rPr>
        <w:t>I. NỘI DUNG KỲ HỌP</w:t>
      </w:r>
    </w:p>
    <w:p>
      <w:pPr>
        <w:widowControl w:val="0"/>
        <w:ind w:firstLine="720"/>
        <w:jc w:val="both"/>
      </w:pPr>
      <w:r>
        <w:t>Tại Kỳ họp Hội đồng nhân dân xã đã đánh giá tình hình kinh tế - xã hội 6 tháng đầu năm; nhiệm vụ, giải pháp 6 tháng cuối năm 2026; tiếp nhận, xem xét 12 báo cáo của Uỷ ban nhân dân xã và các cơ quan, đơn vị, 03 tờ trình, dự thảo nghị quyết do Uỷ ban nhân dân xã trình; tổ chức thảo luận tại hội trường. Cụ thể:</w:t>
      </w:r>
    </w:p>
    <w:p>
      <w:pPr>
        <w:ind w:firstLine="720"/>
        <w:jc w:val="both"/>
        <w:rPr>
          <w:b/>
        </w:rPr>
      </w:pPr>
      <w:r>
        <w:rPr>
          <w:b/>
        </w:rPr>
        <w:t>1. Xem xét các báo cáo của Thường trực Hội đồng nhân dân xã, Ủy ban nhân dân xã, các Ban Hội đồng nhân dân xã</w:t>
      </w:r>
    </w:p>
    <w:p>
      <w:pPr>
        <w:ind w:firstLine="720"/>
        <w:jc w:val="both"/>
      </w:pPr>
      <w:r>
        <w:t xml:space="preserve">1.1. Kết quả hoạt động của Thường trực Hội đồng nhân dân xã 6 tháng đầu năm; phương hướng, nhiệm vụ 6 tháng cuối năm 2026; </w:t>
      </w:r>
    </w:p>
    <w:p>
      <w:pPr>
        <w:ind w:firstLine="720"/>
        <w:jc w:val="both"/>
      </w:pPr>
      <w:r>
        <w:t>1.2. Tổng hợp ý kiến, kiến nghị của cử tri gửi đến Kỳ họp thường lệ giữa năm 2026;</w:t>
      </w:r>
    </w:p>
    <w:p>
      <w:pPr>
        <w:ind w:firstLine="720"/>
        <w:jc w:val="both"/>
      </w:pPr>
      <w:r>
        <w:t xml:space="preserve">1.3. </w:t>
      </w:r>
      <w:hyperlink r:id="rId8" w:tgtFrame="_blank" w:history="1">
        <w:r>
          <w:t>Tình hình Kinh tế - Xã hội 6 tháng đầu năm 2026; nhiệm vụ, giải pháp 6 tháng cuối năm 2026</w:t>
        </w:r>
      </w:hyperlink>
      <w:r>
        <w:t>;</w:t>
      </w:r>
    </w:p>
    <w:p>
      <w:pPr>
        <w:ind w:firstLine="720"/>
        <w:jc w:val="both"/>
      </w:pPr>
      <w:r>
        <w:t>1.4. Kết quả thực hiện dự toán thu, chi ngân sách 6 tháng đầu năm 2026 và nhiệm vụ giải pháp 6 tháng cuối năm 2026;</w:t>
      </w:r>
    </w:p>
    <w:p>
      <w:pPr>
        <w:ind w:firstLine="720"/>
        <w:jc w:val="both"/>
      </w:pPr>
      <w:r>
        <w:t xml:space="preserve">1.5. </w:t>
      </w:r>
      <w:hyperlink r:id="rId9" w:tgtFrame="_blank" w:history="1">
        <w:r>
          <w:t>Tình hình thực hiện kế hoạch đầu tư công 06 tháng đầu năm; nhiệm vụ, giải pháp kế hoạch đầu tư công 06 tháng cuối năm 2026;</w:t>
        </w:r>
      </w:hyperlink>
    </w:p>
    <w:p>
      <w:pPr>
        <w:ind w:firstLine="720"/>
        <w:jc w:val="both"/>
      </w:pPr>
      <w:r>
        <w:t>1.6. Báo cáo công tác tiếp công dân, giải quyết khiếu nại, tố cáo 6 tháng đầu năm 2026</w:t>
      </w:r>
    </w:p>
    <w:p>
      <w:pPr>
        <w:ind w:firstLine="720"/>
        <w:jc w:val="both"/>
      </w:pPr>
      <w:r>
        <w:t xml:space="preserve">1.7. </w:t>
      </w:r>
      <w:hyperlink r:id="rId10" w:tgtFrame="_blank" w:history="1">
        <w:r>
          <w:t>Tổng hợp trả lời ý kiến kiến nghị của cử tri gửi đến kỳ họp thứ 3 HĐND xã khóa XX, nhiệm kỳ 2021 - 2026</w:t>
        </w:r>
      </w:hyperlink>
      <w:r>
        <w:t>;</w:t>
      </w:r>
    </w:p>
    <w:p>
      <w:pPr>
        <w:ind w:firstLine="720"/>
      </w:pPr>
      <w:r>
        <w:t xml:space="preserve">1.8. </w:t>
      </w:r>
      <w:r>
        <w:t>Tiếp thu, trả lời ý kiến, kiến nghị của cử tri gửi tới kỳ họp thứ 3, kỳ họp thường lệ giữa năm 2026, Hội đồng nhân dân xã khóa XXI</w:t>
      </w:r>
    </w:p>
    <w:p>
      <w:pPr>
        <w:ind w:firstLine="720"/>
        <w:jc w:val="both"/>
      </w:pPr>
      <w:r>
        <w:t>1.9. Kết quả hoạt động 6 tháng đầu năm; phương hướng, nhiệm vụ 6 tháng cuối năm 2026 của Ban Kinh tế - Ngân sách Hội đồng nhân dân xã;</w:t>
      </w:r>
    </w:p>
    <w:p>
      <w:pPr>
        <w:ind w:firstLine="720"/>
        <w:jc w:val="both"/>
      </w:pPr>
      <w:r>
        <w:t>1.10. Kết quả hoạt động 6 tháng đầu năm; phương hướng, nhiệm vụ 6 tháng cuối năm 2026 của Ban Văn hóa – Xã hội Hội đồng nhân dân xã;</w:t>
      </w:r>
    </w:p>
    <w:p>
      <w:pPr>
        <w:ind w:firstLine="720"/>
        <w:jc w:val="both"/>
      </w:pPr>
      <w:r>
        <w:lastRenderedPageBreak/>
        <w:t>1.11. Thẩm tra của Ban Kinh tế - Ngân sách Hội đồng nhân dân xã về các báo cáo, tờ trình và dự thảo nghị quyết trình Kỳ họp;</w:t>
      </w:r>
    </w:p>
    <w:p>
      <w:pPr>
        <w:ind w:firstLine="720"/>
        <w:jc w:val="both"/>
      </w:pPr>
      <w:r>
        <w:t>1.12. Thẩm tra của Ban Văn hóa - Xã hội Hội đồng nhân dân xã về các báo cáo, tờ trình và dự thảo nghị quyết trình Kỳ họp.</w:t>
      </w:r>
    </w:p>
    <w:p>
      <w:pPr>
        <w:ind w:firstLine="720"/>
        <w:jc w:val="both"/>
        <w:rPr>
          <w:b/>
          <w:spacing w:val="2"/>
        </w:rPr>
      </w:pPr>
      <w:r>
        <w:rPr>
          <w:b/>
          <w:spacing w:val="2"/>
        </w:rPr>
        <w:t>2. Tiếp nhận báo cáo của Ban Thường trực Ủy ban Mặt trận Tổ quốc Việt Nam xã về công tác giám sát và tham gia xây dựng chính quyền 6 tháng đầu năm 2026.</w:t>
      </w:r>
    </w:p>
    <w:p>
      <w:pPr>
        <w:ind w:firstLine="720"/>
        <w:jc w:val="both"/>
        <w:rPr>
          <w:b/>
        </w:rPr>
      </w:pPr>
      <w:r>
        <w:rPr>
          <w:b/>
        </w:rPr>
        <w:t>3. Thông qua 03 nghị quyết của Hội đồng nhân dân xã:</w:t>
      </w:r>
    </w:p>
    <w:p>
      <w:pPr>
        <w:ind w:firstLine="720"/>
        <w:jc w:val="both"/>
        <w:rPr>
          <w:bCs/>
        </w:rPr>
      </w:pPr>
      <w:r>
        <w:rPr>
          <w:bCs/>
        </w:rPr>
        <w:t xml:space="preserve">3.1. Nghị quyết về nhiệm vụ phát triển kinh tế - xã hội 6 tháng cuối năm 2026. </w:t>
      </w:r>
    </w:p>
    <w:p>
      <w:pPr>
        <w:ind w:firstLine="720"/>
        <w:jc w:val="both"/>
        <w:rPr>
          <w:bCs/>
        </w:rPr>
      </w:pPr>
      <w:r>
        <w:rPr>
          <w:bCs/>
        </w:rPr>
        <w:t xml:space="preserve">3.2. Nghị quyết giao biên chế, số lượng người làm việc trong các đơn vị sự nghiệp giáo dục năm học 2026-2027. </w:t>
      </w:r>
    </w:p>
    <w:p>
      <w:pPr>
        <w:ind w:firstLine="720"/>
        <w:jc w:val="both"/>
        <w:rPr>
          <w:bCs/>
        </w:rPr>
      </w:pPr>
      <w:r>
        <w:rPr>
          <w:bCs/>
        </w:rPr>
        <w:t>3.3. Nghị quyết quy định số lượng người hoạt động không chuyên trách ở thôn trên địa bàn xã Kỳ Văn.</w:t>
      </w:r>
    </w:p>
    <w:p>
      <w:pPr>
        <w:ind w:firstLine="720"/>
        <w:jc w:val="both"/>
        <w:rPr>
          <w:bCs/>
          <w:i/>
        </w:rPr>
      </w:pPr>
      <w:r>
        <w:rPr>
          <w:i/>
        </w:rPr>
        <w:t>(chi tiết các nghị quyết được đăng tải trên Trang thông tin điện tử xã, website:http://kyvan.hatinh.gov.vn )</w:t>
      </w:r>
    </w:p>
    <w:p>
      <w:pPr>
        <w:ind w:firstLine="567"/>
        <w:jc w:val="both"/>
        <w:rPr>
          <w:b/>
          <w:lang w:val="en-US"/>
        </w:rPr>
      </w:pPr>
      <w:r>
        <w:rPr>
          <w:b/>
          <w:lang w:val="en-US"/>
        </w:rPr>
        <w:t>II. NHIỆM VỤ TRONG TÂM SAU KỲ HỌP</w:t>
      </w:r>
    </w:p>
    <w:p>
      <w:pPr>
        <w:ind w:firstLine="567"/>
        <w:jc w:val="both"/>
        <w:rPr>
          <w:b/>
          <w:spacing w:val="-2"/>
          <w:lang w:val="nb-NO"/>
        </w:rPr>
      </w:pPr>
      <w:r>
        <w:t xml:space="preserve">Để hoàn thành các mục tiêu, nhiệm vụ phát triển kinh tế - xã hội năm 2026 đồng chí Nguyễn </w:t>
      </w:r>
      <w:r>
        <w:rPr>
          <w:lang w:val="en-US"/>
        </w:rPr>
        <w:t>Ngọc Hoạch</w:t>
      </w:r>
      <w:r>
        <w:t xml:space="preserve">, </w:t>
      </w:r>
      <w:r>
        <w:rPr>
          <w:lang w:val="en-US"/>
        </w:rPr>
        <w:t>Bí thư Đảng uỷ</w:t>
      </w:r>
      <w:r>
        <w:t xml:space="preserve">, Chủ tịch Hội đồng nhân dân </w:t>
      </w:r>
      <w:r>
        <w:rPr>
          <w:lang w:val="en-US"/>
        </w:rPr>
        <w:t>xã</w:t>
      </w:r>
      <w:r>
        <w:t>, thay mặt Chủ tọa Kỳ họp đề nghị:</w:t>
      </w:r>
    </w:p>
    <w:p>
      <w:pPr>
        <w:ind w:firstLine="567"/>
        <w:jc w:val="both"/>
        <w:rPr>
          <w:spacing w:val="-2"/>
          <w:lang w:val="nb-NO"/>
        </w:rPr>
      </w:pPr>
      <w:r>
        <w:rPr>
          <w:lang w:val="nb-NO"/>
        </w:rPr>
        <w:t xml:space="preserve">1. </w:t>
      </w:r>
      <w:r>
        <w:t>Ủy ban nhân dân xã tập trung chỉ đạo thực hiện tốt một số nhiệm vụ trọng tâm sau:</w:t>
      </w:r>
    </w:p>
    <w:p>
      <w:pPr>
        <w:ind w:firstLine="567"/>
        <w:jc w:val="both"/>
        <w:rPr>
          <w:rFonts w:eastAsia="Times New Roman"/>
          <w:lang w:val="nb-NO" w:eastAsia="en-US"/>
        </w:rPr>
      </w:pPr>
      <w:r>
        <w:rPr>
          <w:rFonts w:eastAsia="Times New Roman"/>
          <w:lang w:val="nb-NO" w:eastAsia="en-US"/>
        </w:rPr>
        <w:t xml:space="preserve">- Khẩn trương xây dựng kế hoạch và tổ chức triển khai thực hiện có hiệu quả các nghị quyết đã được HĐND xã thông qua; phân công rõ trách nhiệm, tiến độ thực hiện đối với từng cơ quan, đơn vị và người đứng đầu. </w:t>
      </w:r>
    </w:p>
    <w:p>
      <w:pPr>
        <w:ind w:firstLine="567"/>
        <w:jc w:val="both"/>
        <w:rPr>
          <w:rFonts w:eastAsia="Times New Roman"/>
          <w:lang w:val="nb-NO" w:eastAsia="en-US"/>
        </w:rPr>
      </w:pPr>
      <w:r>
        <w:rPr>
          <w:rFonts w:eastAsia="Times New Roman"/>
          <w:lang w:val="nb-NO" w:eastAsia="en-US"/>
        </w:rPr>
        <w:t xml:space="preserve">- Tập trung chỉ đạo thực hiện đồng bộ các giải pháp hoàn thành các chỉ tiêu phát triển kinh tế - xã hội, dự toán thu ngân sách nhà nước; đẩy nhanh tiến độ giải ngân vốn đầu tư công, bảo đảm chất lượng các công trình, dự án và sử dụng hiệu quả nguồn vốn đầu tư. </w:t>
      </w:r>
    </w:p>
    <w:p>
      <w:pPr>
        <w:ind w:firstLine="567"/>
        <w:jc w:val="both"/>
        <w:rPr>
          <w:rFonts w:eastAsia="Times New Roman"/>
          <w:lang w:val="nb-NO" w:eastAsia="en-US"/>
        </w:rPr>
      </w:pPr>
      <w:r>
        <w:rPr>
          <w:rFonts w:eastAsia="Times New Roman"/>
          <w:lang w:val="nb-NO" w:eastAsia="en-US"/>
        </w:rPr>
        <w:t xml:space="preserve">- Tăng cường công tác quản lý nhà nước về đất đai, tài nguyên, môi trường; tập trung tháo gỡ khó khăn, vướng mắc, đẩy nhanh tiến độ cấp Giấy chứng nhận quyền sử dụng đất lần đầu đối với các trường hợp đủ điều kiện theo quy định, công nhận lại đất ở trước ngày 18/12/1980, đất sau thực hiện tập trung tích tụ ruộng đất, đất giao trái thẩm quyền và các trường hợp còn tồn đọng kéo dài; kịp thời thông tin, hướng dẫn để người dân hoàn thiện hồ sơ, hạn chế phát sinh đơn thư, khiếu kiện. </w:t>
      </w:r>
    </w:p>
    <w:p>
      <w:pPr>
        <w:ind w:firstLine="567"/>
        <w:jc w:val="both"/>
        <w:rPr>
          <w:rFonts w:eastAsia="Times New Roman"/>
          <w:lang w:val="nb-NO" w:eastAsia="en-US"/>
        </w:rPr>
      </w:pPr>
      <w:r>
        <w:rPr>
          <w:rFonts w:eastAsia="Times New Roman"/>
          <w:lang w:val="nb-NO" w:eastAsia="en-US"/>
        </w:rPr>
        <w:t xml:space="preserve">- Tập trung giải quyết dứt điểm các ý kiến, kiến nghị chính đáng của cử tri và nhân dân; nâng cao chất lượng tiếp công dân, giải quyết khiếu nại, tố cáo; kịp thời xử lý những vấn đề phát sinh ngay từ cơ sở. </w:t>
      </w:r>
    </w:p>
    <w:p>
      <w:pPr>
        <w:ind w:firstLine="567"/>
        <w:jc w:val="both"/>
        <w:rPr>
          <w:rFonts w:eastAsia="Times New Roman"/>
          <w:lang w:val="nb-NO" w:eastAsia="en-US"/>
        </w:rPr>
      </w:pPr>
      <w:r>
        <w:rPr>
          <w:rFonts w:eastAsia="Times New Roman"/>
          <w:lang w:val="nb-NO" w:eastAsia="en-US"/>
        </w:rPr>
        <w:t xml:space="preserve">- Triển khai thực hiện hiệu quả các nghị quyết về lĩnh vực giáo dục; bố trí, sử dụng đội ngũ cán bộ, viên chức, người lao động và người hoạt động không chuyên trách ở thôn đúng quy định, đáp ứng yêu cầu sau sắp xếp tổ chức bộ máy. </w:t>
      </w:r>
    </w:p>
    <w:p>
      <w:pPr>
        <w:ind w:firstLine="567"/>
        <w:jc w:val="both"/>
        <w:rPr>
          <w:rFonts w:eastAsia="Times New Roman"/>
          <w:lang w:val="nb-NO" w:eastAsia="en-US"/>
        </w:rPr>
      </w:pPr>
      <w:r>
        <w:rPr>
          <w:rFonts w:eastAsia="Times New Roman"/>
          <w:lang w:val="nb-NO" w:eastAsia="en-US"/>
        </w:rPr>
        <w:t xml:space="preserve">- Đẩy mạnh cải cách hành chính, chuyển đổi số, nâng cao chất lượng phục vụ người dân và doanh nghiệp; tăng cường kỷ luật, kỷ cương hành chính, trách nhiệm của đội ngũ cán bộ, công chức trong thực thi công vụ. </w:t>
      </w:r>
    </w:p>
    <w:p>
      <w:pPr>
        <w:ind w:firstLine="567"/>
        <w:jc w:val="both"/>
        <w:rPr>
          <w:rFonts w:eastAsia="Times New Roman"/>
          <w:lang w:val="nb-NO" w:eastAsia="en-US"/>
        </w:rPr>
      </w:pPr>
      <w:r>
        <w:rPr>
          <w:rFonts w:eastAsia="Times New Roman"/>
          <w:lang w:val="nb-NO" w:eastAsia="en-US"/>
        </w:rPr>
        <w:t xml:space="preserve">- Tiếp tục huy động các nguồn lực xây dựng nông thôn mới, chăm lo an sinh xã hội, giảm nghèo bền vững; thực hiện tốt công tác quản lý, bảo vệ môi trường, </w:t>
      </w:r>
      <w:r>
        <w:rPr>
          <w:rFonts w:eastAsia="Times New Roman"/>
          <w:lang w:val="nb-NO" w:eastAsia="en-US"/>
        </w:rPr>
        <w:lastRenderedPageBreak/>
        <w:t xml:space="preserve">phân loại và xử lý rác thải sinh hoạt, xây dựng cảnh quan nông thôn sáng - xanh - sạch - đẹp. </w:t>
      </w:r>
    </w:p>
    <w:p>
      <w:pPr>
        <w:ind w:firstLine="567"/>
        <w:jc w:val="both"/>
        <w:rPr>
          <w:rFonts w:eastAsia="Times New Roman"/>
          <w:lang w:val="nb-NO" w:eastAsia="en-US"/>
        </w:rPr>
      </w:pPr>
      <w:r>
        <w:rPr>
          <w:rFonts w:eastAsia="Times New Roman"/>
          <w:lang w:val="nb-NO" w:eastAsia="en-US"/>
        </w:rPr>
        <w:t>- Chủ động các phương án phòng, chống thiên tai, tìm kiếm cứu nạn; bảo đảm quốc phòng, an ninh, giữ vững ổn định chính trị, trật tự an toàn xã hội trên địa bàn.</w:t>
      </w:r>
    </w:p>
    <w:p>
      <w:pPr>
        <w:ind w:firstLine="567"/>
        <w:jc w:val="both"/>
        <w:rPr>
          <w:rFonts w:eastAsia="Times New Roman"/>
          <w:lang w:val="nb-NO" w:eastAsia="en-US"/>
        </w:rPr>
      </w:pPr>
      <w:r>
        <w:rPr>
          <w:rFonts w:eastAsia="Times New Roman"/>
          <w:lang w:val="nb-NO" w:eastAsia="en-US"/>
        </w:rPr>
        <w:t>2. Thường trực Hội đồng nhân dân xã, các Ban Hội đồng nhân dân xã, các tổ đại biểu, các đại biểu Hội đồng nhân dân xã xây dựng kế hoạch giám sát việc triển khai thực hiện các nghị quyết của kỳ họp. Phối hợp với UBND, Ủy ban MTTQ Việt Nam xã theo dõi, đôn đốc việc giải quyết kiến nghị của cử tri; nâng cao chất lượng hoạt động giám sát, khảo sát, bảo đảm các nghị quyết của HĐND được thực hiện hiệu quả. Tăng cường tiếp xúc cử tri, thông tin kết quả kỳ họp và nội dung các nghị quyết đến cử tri; theo dõi, giám sát việc thực hiện các nghị quyết; kịp thời phản ánh những khó khăn, vướng mắc và kiến nghị với Thường trực HĐND, UBND xã để xem xét, giải quyết.</w:t>
      </w:r>
    </w:p>
    <w:p>
      <w:pPr>
        <w:ind w:firstLine="567"/>
        <w:jc w:val="both"/>
        <w:rPr>
          <w:rFonts w:eastAsia="Times New Roman"/>
          <w:lang w:val="nb-NO" w:eastAsia="en-US"/>
        </w:rPr>
      </w:pPr>
      <w:r>
        <w:rPr>
          <w:rFonts w:eastAsia="Times New Roman"/>
          <w:lang w:val="nb-NO" w:eastAsia="en-US"/>
        </w:rPr>
        <w:t>3. Đề nghị Ủy ban Mặt trận Tổ quốc Việt Nam xã và các tổ chức chính trị - xã hội tiếp tục phối hợp chặt chẽ với Hội đồng nhân dân, Ủy ban nhân dân xã</w:t>
      </w:r>
      <w:r>
        <w:rPr>
          <w:rFonts w:eastAsia="Times New Roman"/>
          <w:lang w:eastAsia="en-US"/>
        </w:rPr>
        <w:t xml:space="preserve"> t</w:t>
      </w:r>
      <w:r>
        <w:rPr>
          <w:rFonts w:eastAsia="Times New Roman"/>
          <w:lang w:val="nb-NO" w:eastAsia="en-US"/>
        </w:rPr>
        <w:t>rong công tác tuyên truyền, vận động Nhân dân thực hiện tốt các chủ trương, đường lối của Đảng, chính sách, pháp luật của Nhà nước và các nghị quyết của Hội đồng nhân dân xã; phát huy vai trò giám sát và phản biện xã hội</w:t>
      </w:r>
      <w:r>
        <w:rPr>
          <w:rFonts w:eastAsia="Times New Roman"/>
          <w:lang w:eastAsia="en-US"/>
        </w:rPr>
        <w:t>;</w:t>
      </w:r>
      <w:r>
        <w:rPr>
          <w:rFonts w:eastAsia="Times New Roman"/>
          <w:lang w:val="nb-NO" w:eastAsia="en-US"/>
        </w:rPr>
        <w:t xml:space="preserve"> theo dõi, đôn đốc việc giải quyết kiến nghị của Nhân dân; góp phần củng cố khối đại đoàn kết toàn dân tộc. </w:t>
      </w:r>
    </w:p>
    <w:p>
      <w:pPr>
        <w:ind w:firstLine="567"/>
        <w:jc w:val="both"/>
      </w:pPr>
      <w:r>
        <w:t xml:space="preserve">Thường trực HĐND xã đề nghị UBND xã, các cơ quan, đơn vị, các thôn và toàn thể Nhân dân trong xã phát huy tinh thần đoàn kết, tập trung triển khai thực hiện thắng lợi các nghị quyết của Kỳ họp thứ </w:t>
      </w:r>
      <w:r>
        <w:rPr>
          <w:lang w:val="nb-NO"/>
        </w:rPr>
        <w:t xml:space="preserve">3 </w:t>
      </w:r>
      <w:r>
        <w:t>HĐND xã khóa XXI, góp phần hoàn thành các mục tiêu, chỉ tiêu phát triển kinh tế - xã hội năm 2026.</w:t>
      </w:r>
    </w:p>
    <w:p>
      <w:pPr>
        <w:ind w:firstLine="567"/>
        <w:jc w:val="both"/>
      </w:pPr>
      <w:r>
        <w:t>Thường trực Hội đồng nhân dân xã thông báo kết quả Kỳ họp thứ 3 của Hội đồng nhân dân xã khóa XXI để các phòng, ban, đơn vị và Nhân dân biết, triển khai thực hiện./.</w:t>
      </w:r>
    </w:p>
    <w:p>
      <w:pPr>
        <w:widowControl w:val="0"/>
        <w:spacing w:line="120" w:lineRule="auto"/>
        <w:ind w:firstLine="720"/>
        <w:jc w:val="both"/>
        <w:rPr>
          <w:spacing w:val="2"/>
        </w:rPr>
      </w:pPr>
    </w:p>
    <w:tbl>
      <w:tblPr>
        <w:tblW w:w="5078" w:type="pct"/>
        <w:tblInd w:w="-142" w:type="dxa"/>
        <w:tblLook w:val="0000" w:firstRow="0" w:lastRow="0" w:firstColumn="0" w:lastColumn="0" w:noHBand="0" w:noVBand="0"/>
      </w:tblPr>
      <w:tblGrid>
        <w:gridCol w:w="4821"/>
        <w:gridCol w:w="4680"/>
      </w:tblGrid>
      <w:tr>
        <w:tc>
          <w:tcPr>
            <w:tcW w:w="2537" w:type="pct"/>
          </w:tcPr>
          <w:p>
            <w:pPr>
              <w:rPr>
                <w:b/>
                <w:sz w:val="24"/>
                <w:szCs w:val="24"/>
              </w:rPr>
            </w:pPr>
            <w:r>
              <w:rPr>
                <w:b/>
                <w:i/>
                <w:sz w:val="24"/>
                <w:szCs w:val="24"/>
              </w:rPr>
              <w:t>Nơi nhận:</w:t>
            </w:r>
          </w:p>
          <w:p>
            <w:pPr>
              <w:rPr>
                <w:sz w:val="22"/>
                <w:szCs w:val="22"/>
              </w:rPr>
            </w:pPr>
            <w:r>
              <w:rPr>
                <w:sz w:val="22"/>
                <w:szCs w:val="22"/>
              </w:rPr>
              <w:t>- Ban Thường vụ Đảng ủy (báo cáo);</w:t>
            </w:r>
          </w:p>
          <w:p>
            <w:pPr>
              <w:rPr>
                <w:sz w:val="22"/>
                <w:szCs w:val="22"/>
              </w:rPr>
            </w:pPr>
            <w:r>
              <w:rPr>
                <w:sz w:val="22"/>
                <w:szCs w:val="22"/>
              </w:rPr>
              <w:t>- Thường trực HĐND xã;</w:t>
            </w:r>
          </w:p>
          <w:p>
            <w:pPr>
              <w:rPr>
                <w:sz w:val="22"/>
                <w:szCs w:val="22"/>
              </w:rPr>
            </w:pPr>
            <w:r>
              <w:rPr>
                <w:sz w:val="22"/>
                <w:szCs w:val="22"/>
              </w:rPr>
              <w:t>- Ủy ban nhân dân xã;</w:t>
            </w:r>
          </w:p>
          <w:p>
            <w:pPr>
              <w:rPr>
                <w:sz w:val="22"/>
                <w:szCs w:val="22"/>
              </w:rPr>
            </w:pPr>
            <w:r>
              <w:rPr>
                <w:sz w:val="22"/>
                <w:szCs w:val="22"/>
              </w:rPr>
              <w:t>- Thường trực UBMTTQ Việt Nam xã;</w:t>
            </w:r>
          </w:p>
          <w:p>
            <w:pPr>
              <w:rPr>
                <w:sz w:val="22"/>
                <w:szCs w:val="22"/>
              </w:rPr>
            </w:pPr>
            <w:r>
              <w:rPr>
                <w:sz w:val="22"/>
                <w:szCs w:val="22"/>
              </w:rPr>
              <w:t>- Các ban HĐND xã;</w:t>
            </w:r>
          </w:p>
          <w:p>
            <w:pPr>
              <w:rPr>
                <w:sz w:val="22"/>
                <w:szCs w:val="22"/>
              </w:rPr>
            </w:pPr>
            <w:r>
              <w:rPr>
                <w:sz w:val="22"/>
                <w:szCs w:val="22"/>
              </w:rPr>
              <w:t>- Đại biểu HĐND xã;</w:t>
            </w:r>
          </w:p>
          <w:p>
            <w:pPr>
              <w:rPr>
                <w:sz w:val="22"/>
                <w:szCs w:val="22"/>
              </w:rPr>
            </w:pPr>
            <w:r>
              <w:rPr>
                <w:sz w:val="22"/>
                <w:szCs w:val="22"/>
              </w:rPr>
              <w:t>- Các phòng, ban, cơ quan, đơn vị cấp xã;</w:t>
            </w:r>
          </w:p>
          <w:p>
            <w:pPr>
              <w:rPr>
                <w:sz w:val="22"/>
                <w:szCs w:val="22"/>
              </w:rPr>
            </w:pPr>
            <w:r>
              <w:rPr>
                <w:sz w:val="22"/>
                <w:szCs w:val="22"/>
              </w:rPr>
              <w:t>- BCS các thôn;</w:t>
            </w:r>
          </w:p>
          <w:p>
            <w:pPr>
              <w:rPr>
                <w:sz w:val="24"/>
                <w:szCs w:val="24"/>
              </w:rPr>
            </w:pPr>
            <w:r>
              <w:rPr>
                <w:sz w:val="22"/>
                <w:szCs w:val="22"/>
              </w:rPr>
              <w:t>- Lưu: VT.</w:t>
            </w:r>
          </w:p>
        </w:tc>
        <w:tc>
          <w:tcPr>
            <w:tcW w:w="2463" w:type="pct"/>
          </w:tcPr>
          <w:p>
            <w:pPr>
              <w:jc w:val="center"/>
              <w:rPr>
                <w:b/>
                <w:sz w:val="26"/>
                <w:szCs w:val="26"/>
              </w:rPr>
            </w:pPr>
            <w:r>
              <w:rPr>
                <w:b/>
                <w:sz w:val="26"/>
                <w:szCs w:val="26"/>
              </w:rPr>
              <w:t>TL. THƯỜNG TRỰC HĐND</w:t>
            </w:r>
          </w:p>
          <w:p>
            <w:pPr>
              <w:jc w:val="center"/>
              <w:rPr>
                <w:b/>
                <w:sz w:val="26"/>
                <w:szCs w:val="26"/>
              </w:rPr>
            </w:pPr>
            <w:r>
              <w:rPr>
                <w:b/>
                <w:sz w:val="26"/>
                <w:szCs w:val="26"/>
              </w:rPr>
              <w:t>CHÁNH VĂN PHÒNG</w:t>
            </w:r>
          </w:p>
          <w:p>
            <w:pPr>
              <w:jc w:val="center"/>
              <w:rPr>
                <w:b/>
              </w:rPr>
            </w:pPr>
          </w:p>
          <w:p>
            <w:pPr>
              <w:jc w:val="center"/>
              <w:rPr>
                <w:b/>
              </w:rPr>
            </w:pPr>
          </w:p>
          <w:p>
            <w:pPr>
              <w:jc w:val="center"/>
              <w:rPr>
                <w:b/>
              </w:rPr>
            </w:pPr>
          </w:p>
          <w:p>
            <w:pPr>
              <w:jc w:val="center"/>
              <w:rPr>
                <w:b/>
              </w:rPr>
            </w:pPr>
          </w:p>
          <w:p>
            <w:pPr>
              <w:jc w:val="center"/>
              <w:rPr>
                <w:b/>
              </w:rPr>
            </w:pPr>
          </w:p>
          <w:p>
            <w:pPr>
              <w:rPr>
                <w:b/>
              </w:rPr>
            </w:pPr>
          </w:p>
          <w:p>
            <w:pPr>
              <w:spacing w:before="120" w:line="340" w:lineRule="exact"/>
              <w:jc w:val="center"/>
              <w:rPr>
                <w:b/>
                <w:highlight w:val="yellow"/>
                <w:lang w:val="en-US"/>
              </w:rPr>
            </w:pPr>
            <w:r>
              <w:rPr>
                <w:b/>
              </w:rPr>
              <w:t xml:space="preserve"> </w:t>
            </w:r>
            <w:r>
              <w:rPr>
                <w:b/>
                <w:lang w:val="en-US"/>
              </w:rPr>
              <w:t>Trần Xuân Thành</w:t>
            </w:r>
          </w:p>
        </w:tc>
      </w:tr>
    </w:tbl>
    <w:p/>
    <w:p>
      <w:pPr>
        <w:jc w:val="both"/>
      </w:pPr>
    </w:p>
    <w:sectPr>
      <w:headerReference w:type="even" r:id="rId11"/>
      <w:headerReference w:type="default" r:id="rId12"/>
      <w:footerReference w:type="even" r:id="rId13"/>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pPr>
    <w:r>
      <w:rPr>
        <w:noProof w:val="0"/>
      </w:rPr>
      <w:fldChar w:fldCharType="begin"/>
    </w:r>
    <w:r>
      <w:instrText xml:space="preserve"> PAGE   \* MERGEFORMAT </w:instrText>
    </w:r>
    <w:r>
      <w:rPr>
        <w:noProof w:val="0"/>
      </w:rPr>
      <w:fldChar w:fldCharType="separate"/>
    </w:r>
    <w: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C1DA9"/>
    <w:multiLevelType w:val="multilevel"/>
    <w:tmpl w:val="4D16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5A52"/>
    <w:multiLevelType w:val="hybridMultilevel"/>
    <w:tmpl w:val="0D06E79A"/>
    <w:lvl w:ilvl="0" w:tplc="6E1A4E4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1E431E"/>
    <w:multiLevelType w:val="multilevel"/>
    <w:tmpl w:val="39A03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C6FA5"/>
    <w:multiLevelType w:val="multilevel"/>
    <w:tmpl w:val="BDD6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B6CD1"/>
    <w:multiLevelType w:val="multilevel"/>
    <w:tmpl w:val="BD6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E02FD"/>
    <w:multiLevelType w:val="multilevel"/>
    <w:tmpl w:val="91EE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22E94"/>
    <w:multiLevelType w:val="hybridMultilevel"/>
    <w:tmpl w:val="2C9CB892"/>
    <w:lvl w:ilvl="0" w:tplc="66B22EF0">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14D7E"/>
    <w:multiLevelType w:val="multilevel"/>
    <w:tmpl w:val="539A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F46FA"/>
    <w:multiLevelType w:val="hybridMultilevel"/>
    <w:tmpl w:val="141AB23E"/>
    <w:lvl w:ilvl="0" w:tplc="9024619A">
      <w:start w:val="1"/>
      <w:numFmt w:val="decimal"/>
      <w:lvlText w:val="%1."/>
      <w:lvlJc w:val="left"/>
      <w:pPr>
        <w:ind w:left="1440" w:hanging="360"/>
      </w:pPr>
      <w:rPr>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15:restartNumberingAfterBreak="0">
    <w:nsid w:val="4DB861ED"/>
    <w:multiLevelType w:val="multilevel"/>
    <w:tmpl w:val="3C3C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6B1B74"/>
    <w:multiLevelType w:val="multilevel"/>
    <w:tmpl w:val="CBC0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6B25C7"/>
    <w:multiLevelType w:val="hybridMultilevel"/>
    <w:tmpl w:val="AF2842D4"/>
    <w:lvl w:ilvl="0" w:tplc="CCD0EF66">
      <w:start w:val="3"/>
      <w:numFmt w:val="decimal"/>
      <w:lvlText w:val="%1."/>
      <w:lvlJc w:val="left"/>
      <w:pPr>
        <w:ind w:left="4243" w:hanging="360"/>
      </w:pPr>
      <w:rPr>
        <w:rFonts w:hint="default"/>
        <w:i w:val="0"/>
        <w:iCs/>
      </w:rPr>
    </w:lvl>
    <w:lvl w:ilvl="1" w:tplc="042A0019" w:tentative="1">
      <w:start w:val="1"/>
      <w:numFmt w:val="lowerLetter"/>
      <w:lvlText w:val="%2."/>
      <w:lvlJc w:val="left"/>
      <w:pPr>
        <w:ind w:left="4963" w:hanging="360"/>
      </w:pPr>
    </w:lvl>
    <w:lvl w:ilvl="2" w:tplc="042A001B" w:tentative="1">
      <w:start w:val="1"/>
      <w:numFmt w:val="lowerRoman"/>
      <w:lvlText w:val="%3."/>
      <w:lvlJc w:val="right"/>
      <w:pPr>
        <w:ind w:left="5683" w:hanging="180"/>
      </w:pPr>
    </w:lvl>
    <w:lvl w:ilvl="3" w:tplc="042A000F" w:tentative="1">
      <w:start w:val="1"/>
      <w:numFmt w:val="decimal"/>
      <w:lvlText w:val="%4."/>
      <w:lvlJc w:val="left"/>
      <w:pPr>
        <w:ind w:left="6403" w:hanging="360"/>
      </w:pPr>
    </w:lvl>
    <w:lvl w:ilvl="4" w:tplc="042A0019" w:tentative="1">
      <w:start w:val="1"/>
      <w:numFmt w:val="lowerLetter"/>
      <w:lvlText w:val="%5."/>
      <w:lvlJc w:val="left"/>
      <w:pPr>
        <w:ind w:left="7123" w:hanging="360"/>
      </w:pPr>
    </w:lvl>
    <w:lvl w:ilvl="5" w:tplc="042A001B" w:tentative="1">
      <w:start w:val="1"/>
      <w:numFmt w:val="lowerRoman"/>
      <w:lvlText w:val="%6."/>
      <w:lvlJc w:val="right"/>
      <w:pPr>
        <w:ind w:left="7843" w:hanging="180"/>
      </w:pPr>
    </w:lvl>
    <w:lvl w:ilvl="6" w:tplc="042A000F" w:tentative="1">
      <w:start w:val="1"/>
      <w:numFmt w:val="decimal"/>
      <w:lvlText w:val="%7."/>
      <w:lvlJc w:val="left"/>
      <w:pPr>
        <w:ind w:left="8563" w:hanging="360"/>
      </w:pPr>
    </w:lvl>
    <w:lvl w:ilvl="7" w:tplc="042A0019" w:tentative="1">
      <w:start w:val="1"/>
      <w:numFmt w:val="lowerLetter"/>
      <w:lvlText w:val="%8."/>
      <w:lvlJc w:val="left"/>
      <w:pPr>
        <w:ind w:left="9283" w:hanging="360"/>
      </w:pPr>
    </w:lvl>
    <w:lvl w:ilvl="8" w:tplc="042A001B" w:tentative="1">
      <w:start w:val="1"/>
      <w:numFmt w:val="lowerRoman"/>
      <w:lvlText w:val="%9."/>
      <w:lvlJc w:val="right"/>
      <w:pPr>
        <w:ind w:left="10003" w:hanging="180"/>
      </w:pPr>
    </w:lvl>
  </w:abstractNum>
  <w:abstractNum w:abstractNumId="12" w15:restartNumberingAfterBreak="0">
    <w:nsid w:val="6F2479FC"/>
    <w:multiLevelType w:val="multilevel"/>
    <w:tmpl w:val="090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110CB"/>
    <w:multiLevelType w:val="hybridMultilevel"/>
    <w:tmpl w:val="323A37DA"/>
    <w:lvl w:ilvl="0" w:tplc="260054CE">
      <w:start w:val="1"/>
      <w:numFmt w:val="decimal"/>
      <w:lvlText w:val="%1."/>
      <w:lvlJc w:val="left"/>
      <w:pPr>
        <w:ind w:left="1211" w:hanging="360"/>
      </w:pPr>
      <w:rPr>
        <w:b w:val="0"/>
        <w:i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num w:numId="1">
    <w:abstractNumId w:val="13"/>
  </w:num>
  <w:num w:numId="2">
    <w:abstractNumId w:val="11"/>
  </w:num>
  <w:num w:numId="3">
    <w:abstractNumId w:val="12"/>
  </w:num>
  <w:num w:numId="4">
    <w:abstractNumId w:val="4"/>
  </w:num>
  <w:num w:numId="5">
    <w:abstractNumId w:val="8"/>
  </w:num>
  <w:num w:numId="6">
    <w:abstractNumId w:val="6"/>
  </w:num>
  <w:num w:numId="7">
    <w:abstractNumId w:val="2"/>
  </w:num>
  <w:num w:numId="8">
    <w:abstractNumId w:val="3"/>
  </w:num>
  <w:num w:numId="9">
    <w:abstractNumId w:val="1"/>
  </w:num>
  <w:num w:numId="10">
    <w:abstractNumId w:val="5"/>
  </w:num>
  <w:num w:numId="11">
    <w:abstractNumId w:val="7"/>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A94C10-2BF9-4846-8151-EC3FED27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MS Mincho" w:hAnsi="Times New Roman" w:cs="Times New Roman"/>
      <w:noProof/>
      <w:sz w:val="28"/>
      <w:szCs w:val="28"/>
      <w:lang w:val="vi-VN" w:eastAsia="ja-JP"/>
    </w:rPr>
  </w:style>
  <w:style w:type="paragraph" w:styleId="Heading1">
    <w:name w:val="heading 1"/>
    <w:basedOn w:val="Normal"/>
    <w:next w:val="Normal"/>
    <w:link w:val="Heading1Char"/>
    <w:qFormat/>
    <w:pPr>
      <w:keepNext/>
      <w:jc w:val="center"/>
      <w:outlineLvl w:val="0"/>
    </w:pPr>
    <w:rPr>
      <w:rFonts w:ascii=".VnTime" w:eastAsia="Times New Roman" w:hAnsi=".VnTime"/>
      <w:b/>
      <w:bCs/>
      <w:lang w:eastAsia="en-US"/>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 w:eastAsia="Times New Roman" w:hAnsi=".VnTime" w:cs="Times New Roman"/>
      <w:b/>
      <w:bCs/>
      <w:noProof/>
      <w:sz w:val="28"/>
      <w:szCs w:val="28"/>
      <w:lang w:val="vi-V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noProof/>
      <w:color w:val="4472C4" w:themeColor="accent1"/>
      <w:sz w:val="26"/>
      <w:szCs w:val="26"/>
      <w:lang w:val="vi-VN" w:eastAsia="ja-JP"/>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noProof/>
      <w:color w:val="4472C4" w:themeColor="accent1"/>
      <w:sz w:val="28"/>
      <w:szCs w:val="28"/>
      <w:lang w:val="vi-VN" w:eastAsia="ja-JP"/>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MS Mincho" w:hAnsi="Times New Roman" w:cs="Times New Roman"/>
      <w:noProof/>
      <w:sz w:val="28"/>
      <w:szCs w:val="28"/>
      <w:lang w:val="vi-VN" w:eastAsia="ja-JP"/>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MS Mincho" w:hAnsi="Times New Roman" w:cs="Times New Roman"/>
      <w:noProof/>
      <w:sz w:val="28"/>
      <w:szCs w:val="28"/>
      <w:lang w:val="vi-VN" w:eastAsia="ja-JP"/>
    </w:rPr>
  </w:style>
  <w:style w:type="paragraph" w:customStyle="1" w:styleId="CharCharCharCharCharCharCharCharChar1Char">
    <w:name w:val="Char Char Char Char Char Char Char Char Char1 Char"/>
    <w:basedOn w:val="Normal"/>
    <w:next w:val="Normal"/>
    <w:autoRedefine/>
    <w:pPr>
      <w:spacing w:before="120" w:after="120" w:line="312" w:lineRule="auto"/>
    </w:pPr>
    <w:rPr>
      <w:rFonts w:eastAsia="Times New Roman"/>
      <w:noProof w:val="0"/>
      <w:szCs w:val="22"/>
      <w:lang w:val="en-US" w:eastAsia="en-US"/>
    </w:rPr>
  </w:style>
  <w:style w:type="paragraph" w:styleId="ListParagraph">
    <w:name w:val="List Paragraph"/>
    <w:basedOn w:val="Normal"/>
    <w:uiPriority w:val="34"/>
    <w:qFormat/>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rPr>
      <w:rFonts w:eastAsia="Times New Roman"/>
      <w:noProof w:val="0"/>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SUPERS,R,10 p,f11"/>
    <w:basedOn w:val="DefaultParagraphFont"/>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pPr>
      <w:spacing w:after="160" w:line="240" w:lineRule="exact"/>
    </w:pPr>
    <w:rPr>
      <w:rFonts w:asciiTheme="minorHAnsi" w:eastAsiaTheme="minorHAnsi" w:hAnsiTheme="minorHAnsi" w:cstheme="minorBidi"/>
      <w:noProof w:val="0"/>
      <w:sz w:val="22"/>
      <w:szCs w:val="22"/>
      <w:vertAlign w:val="superscript"/>
      <w:lang w:val="en-US" w:eastAsia="en-US"/>
    </w:rPr>
  </w:style>
  <w:style w:type="paragraph" w:styleId="BodyText">
    <w:name w:val="Body Text"/>
    <w:basedOn w:val="Normal"/>
    <w:link w:val="BodyTextChar"/>
    <w:pPr>
      <w:jc w:val="both"/>
    </w:pPr>
    <w:rPr>
      <w:rFonts w:ascii=".VnTime" w:eastAsia="Times New Roman" w:hAnsi=".VnTime"/>
      <w:b/>
      <w:noProof w:val="0"/>
      <w:szCs w:val="20"/>
      <w:lang w:val="en-US" w:eastAsia="en-US"/>
    </w:rPr>
  </w:style>
  <w:style w:type="character" w:customStyle="1" w:styleId="BodyTextChar">
    <w:name w:val="Body Text Char"/>
    <w:basedOn w:val="DefaultParagraphFont"/>
    <w:link w:val="BodyText"/>
    <w:rPr>
      <w:rFonts w:ascii=".VnTime" w:eastAsia="Times New Roman" w:hAnsi=".VnTime" w:cs="Times New Roman"/>
      <w:b/>
      <w:sz w:val="28"/>
      <w:szCs w:val="20"/>
    </w:rPr>
  </w:style>
  <w:style w:type="character" w:customStyle="1" w:styleId="BodyTextIndentChar">
    <w:name w:val="Body Text Indent Char"/>
    <w:basedOn w:val="DefaultParagraphFont"/>
    <w:link w:val="BodyTextIndent"/>
    <w:uiPriority w:val="99"/>
    <w:semiHidden/>
    <w:rPr>
      <w:rFonts w:ascii="Times New Roman" w:eastAsia="MS Mincho" w:hAnsi="Times New Roman" w:cs="Times New Roman"/>
      <w:noProof/>
      <w:sz w:val="28"/>
      <w:szCs w:val="28"/>
      <w:lang w:val="vi-VN" w:eastAsia="ja-JP"/>
    </w:rPr>
  </w:style>
  <w:style w:type="paragraph" w:styleId="BodyTextIndent">
    <w:name w:val="Body Text Indent"/>
    <w:basedOn w:val="Normal"/>
    <w:link w:val="BodyTextIndentChar"/>
    <w:uiPriority w:val="99"/>
    <w:semiHidden/>
    <w:unhideWhenUsed/>
    <w:pPr>
      <w:spacing w:after="120"/>
      <w:ind w:left="283"/>
    </w:pPr>
  </w:style>
  <w:style w:type="paragraph" w:styleId="NormalWeb">
    <w:name w:val="Normal (Web)"/>
    <w:basedOn w:val="Normal"/>
    <w:uiPriority w:val="99"/>
    <w:unhideWhenUsed/>
    <w:pPr>
      <w:spacing w:before="100" w:beforeAutospacing="1" w:after="100" w:afterAutospacing="1"/>
    </w:pPr>
    <w:rPr>
      <w:rFonts w:eastAsia="Times New Roman"/>
      <w:noProof w:val="0"/>
      <w:sz w:val="24"/>
      <w:szCs w:val="24"/>
      <w:lang w:val="en-US" w:eastAsia="en-US"/>
    </w:rPr>
  </w:style>
  <w:style w:type="character" w:customStyle="1" w:styleId="fontstyle01">
    <w:name w:val="fontstyle01"/>
    <w:rPr>
      <w:rFonts w:ascii="TimesNewRomanPSMT" w:hAnsi="TimesNewRomanPSMT" w:hint="default"/>
      <w:b w:val="0"/>
      <w:bCs w:val="0"/>
      <w:i w:val="0"/>
      <w:iCs w:val="0"/>
      <w:color w:val="000000"/>
      <w:sz w:val="28"/>
      <w:szCs w:val="28"/>
    </w:rPr>
  </w:style>
  <w:style w:type="character" w:styleId="Hyperlink">
    <w:name w:val="Hyperlink"/>
    <w:uiPriority w:val="99"/>
    <w:unhideWhenUsed/>
    <w:rPr>
      <w:color w:val="0563C1"/>
      <w:u w:val="single"/>
    </w:rPr>
  </w:style>
  <w:style w:type="character" w:customStyle="1" w:styleId="BalloonTextChar">
    <w:name w:val="Balloon Text Char"/>
    <w:basedOn w:val="DefaultParagraphFont"/>
    <w:link w:val="BalloonText"/>
    <w:uiPriority w:val="99"/>
    <w:semiHidden/>
    <w:rPr>
      <w:rFonts w:ascii="Tahoma" w:eastAsia="MS Mincho" w:hAnsi="Tahoma" w:cs="Tahoma"/>
      <w:noProof/>
      <w:sz w:val="16"/>
      <w:szCs w:val="16"/>
      <w:lang w:val="vi-VN"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fontstyle21">
    <w:name w:val="fontstyle21"/>
    <w:basedOn w:val="DefaultParagraphFont"/>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pdq2pgselectionanchorcontainer">
    <w:name w:val="pdq2pg_selectionanchorcontainer"/>
    <w:basedOn w:val="Normal"/>
    <w:pPr>
      <w:spacing w:before="100" w:beforeAutospacing="1" w:after="100" w:afterAutospacing="1"/>
    </w:pPr>
    <w:rPr>
      <w:rFonts w:eastAsia="Times New Roman"/>
      <w:noProof w:val="0"/>
      <w:sz w:val="24"/>
      <w:szCs w:val="24"/>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noProof/>
      <w:color w:val="1F3763" w:themeColor="accent1" w:themeShade="7F"/>
      <w:sz w:val="24"/>
      <w:szCs w:val="24"/>
      <w:lang w:val="vi-VN" w:eastAsia="ja-JP"/>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03722">
      <w:bodyDiv w:val="1"/>
      <w:marLeft w:val="0"/>
      <w:marRight w:val="0"/>
      <w:marTop w:val="0"/>
      <w:marBottom w:val="0"/>
      <w:divBdr>
        <w:top w:val="none" w:sz="0" w:space="0" w:color="auto"/>
        <w:left w:val="none" w:sz="0" w:space="0" w:color="auto"/>
        <w:bottom w:val="none" w:sz="0" w:space="0" w:color="auto"/>
        <w:right w:val="none" w:sz="0" w:space="0" w:color="auto"/>
      </w:divBdr>
    </w:div>
    <w:div w:id="485976546">
      <w:bodyDiv w:val="1"/>
      <w:marLeft w:val="0"/>
      <w:marRight w:val="0"/>
      <w:marTop w:val="0"/>
      <w:marBottom w:val="0"/>
      <w:divBdr>
        <w:top w:val="none" w:sz="0" w:space="0" w:color="auto"/>
        <w:left w:val="none" w:sz="0" w:space="0" w:color="auto"/>
        <w:bottom w:val="none" w:sz="0" w:space="0" w:color="auto"/>
        <w:right w:val="none" w:sz="0" w:space="0" w:color="auto"/>
      </w:divBdr>
    </w:div>
    <w:div w:id="1045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dbnd.hatinh.gov.vn/api/minios/hkg/41a13714-0b4a-4119-bc16-5acf85013c94/13.07.2026BaocaoKTXH6thangdaunam2026bh13.07.2026_16h17p42_signed.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ldbnd.hatinh.gov.vn/api/minios/hkg/4c9eca96-98d1-491c-8344-d6fdae105adb/13.7.2026BCKetquagiaiquyetkiennghicutri71813.07.2026_16h49p19_signed.pdf" TargetMode="External"/><Relationship Id="rId4" Type="http://schemas.openxmlformats.org/officeDocument/2006/relationships/settings" Target="settings.xml"/><Relationship Id="rId9" Type="http://schemas.openxmlformats.org/officeDocument/2006/relationships/hyperlink" Target="https://qldbnd.hatinh.gov.vn/api/minios/hkg/27f6f047-5c60-4a4e-977a-cfc914a0a077/157.BCdautucong6thangDN2026_hoalckyvan07072026_16h22p4508.07.2026_08h03p08_signe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23B5-E1EC-4432-9E0E-23282DCC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2026-07-16T23:17:00Z</dcterms:created>
  <dcterms:modified xsi:type="dcterms:W3CDTF">2026-07-16T23:17:00Z</dcterms:modified>
</cp:coreProperties>
</file>